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54AC5" w14:textId="6AE3C7FA" w:rsidR="00FA161E" w:rsidRPr="00FA161E" w:rsidRDefault="00FA161E" w:rsidP="00FA161E">
      <w:pPr>
        <w:jc w:val="left"/>
        <w:rPr>
          <w:rFonts w:ascii="Times New Roman" w:hAnsi="Times New Roman"/>
          <w:b/>
          <w:color w:val="0D0D0D"/>
          <w:sz w:val="28"/>
          <w:szCs w:val="28"/>
        </w:rPr>
      </w:pPr>
      <w:r>
        <w:rPr>
          <w:rFonts w:ascii="Times New Roman" w:hAnsi="Times New Roman"/>
          <w:b/>
          <w:color w:val="0D0D0D"/>
          <w:sz w:val="28"/>
          <w:szCs w:val="28"/>
        </w:rPr>
        <w:t xml:space="preserve">1. Thủ tục </w:t>
      </w:r>
      <w:r w:rsidRPr="00FA161E">
        <w:rPr>
          <w:rFonts w:ascii="Times New Roman" w:hAnsi="Times New Roman"/>
          <w:b/>
          <w:color w:val="0D0D0D"/>
          <w:sz w:val="28"/>
          <w:szCs w:val="28"/>
        </w:rPr>
        <w:t>Gia hạn, điều chỉnh nội dung giấy phép hành nghề khoan nước dưới đất quy mô vừa và nhỏ</w:t>
      </w:r>
    </w:p>
    <w:tbl>
      <w:tblPr>
        <w:tblW w:w="15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
        <w:gridCol w:w="1103"/>
        <w:gridCol w:w="1811"/>
        <w:gridCol w:w="1114"/>
        <w:gridCol w:w="2702"/>
        <w:gridCol w:w="1959"/>
        <w:gridCol w:w="2089"/>
        <w:gridCol w:w="2226"/>
        <w:gridCol w:w="1688"/>
      </w:tblGrid>
      <w:tr w:rsidR="00FA161E" w:rsidRPr="001E7AF6" w14:paraId="4A2B8BA4" w14:textId="77777777" w:rsidTr="00F66D1D">
        <w:trPr>
          <w:trHeight w:val="924"/>
          <w:tblHeader/>
          <w:jc w:val="center"/>
        </w:trPr>
        <w:tc>
          <w:tcPr>
            <w:tcW w:w="631" w:type="dxa"/>
            <w:tcBorders>
              <w:top w:val="single" w:sz="4" w:space="0" w:color="auto"/>
              <w:left w:val="single" w:sz="4" w:space="0" w:color="auto"/>
              <w:bottom w:val="single" w:sz="4" w:space="0" w:color="auto"/>
              <w:right w:val="single" w:sz="4" w:space="0" w:color="auto"/>
            </w:tcBorders>
            <w:vAlign w:val="center"/>
          </w:tcPr>
          <w:p w14:paraId="54D22FB9" w14:textId="77777777" w:rsidR="00FA161E" w:rsidRPr="001E7AF6" w:rsidRDefault="00FA161E" w:rsidP="00F66D1D">
            <w:pPr>
              <w:rPr>
                <w:rFonts w:ascii="Times New Roman" w:hAnsi="Times New Roman"/>
                <w:b/>
                <w:color w:val="0D0D0D"/>
              </w:rPr>
            </w:pPr>
            <w:r w:rsidRPr="001E7AF6">
              <w:rPr>
                <w:rFonts w:ascii="Times New Roman" w:hAnsi="Times New Roman"/>
                <w:b/>
                <w:color w:val="0D0D0D"/>
              </w:rPr>
              <w:t>TT</w:t>
            </w:r>
          </w:p>
        </w:tc>
        <w:tc>
          <w:tcPr>
            <w:tcW w:w="1103" w:type="dxa"/>
            <w:tcBorders>
              <w:top w:val="single" w:sz="4" w:space="0" w:color="auto"/>
              <w:left w:val="single" w:sz="4" w:space="0" w:color="auto"/>
              <w:bottom w:val="single" w:sz="4" w:space="0" w:color="auto"/>
              <w:right w:val="single" w:sz="4" w:space="0" w:color="auto"/>
            </w:tcBorders>
            <w:vAlign w:val="center"/>
          </w:tcPr>
          <w:p w14:paraId="1E7DA2FA" w14:textId="77777777" w:rsidR="00FA161E" w:rsidRPr="001E7AF6" w:rsidRDefault="00FA161E" w:rsidP="00F66D1D">
            <w:pPr>
              <w:rPr>
                <w:rFonts w:ascii="Times New Roman" w:hAnsi="Times New Roman"/>
                <w:b/>
                <w:color w:val="0D0D0D"/>
              </w:rPr>
            </w:pPr>
            <w:r w:rsidRPr="001E7AF6">
              <w:rPr>
                <w:rFonts w:ascii="Times New Roman" w:hAnsi="Times New Roman"/>
                <w:b/>
                <w:color w:val="0D0D0D"/>
              </w:rPr>
              <w:t>Mã TTHC</w:t>
            </w:r>
          </w:p>
        </w:tc>
        <w:tc>
          <w:tcPr>
            <w:tcW w:w="1811" w:type="dxa"/>
            <w:tcBorders>
              <w:top w:val="single" w:sz="4" w:space="0" w:color="auto"/>
              <w:left w:val="single" w:sz="4" w:space="0" w:color="auto"/>
              <w:bottom w:val="single" w:sz="4" w:space="0" w:color="auto"/>
              <w:right w:val="single" w:sz="4" w:space="0" w:color="auto"/>
            </w:tcBorders>
            <w:vAlign w:val="center"/>
          </w:tcPr>
          <w:p w14:paraId="54E21155" w14:textId="77777777" w:rsidR="00FA161E" w:rsidRPr="001E7AF6" w:rsidRDefault="00FA161E" w:rsidP="00F66D1D">
            <w:pPr>
              <w:rPr>
                <w:rFonts w:ascii="Times New Roman" w:hAnsi="Times New Roman"/>
                <w:b/>
                <w:color w:val="0D0D0D"/>
              </w:rPr>
            </w:pPr>
            <w:r w:rsidRPr="001E7AF6">
              <w:rPr>
                <w:rFonts w:ascii="Times New Roman" w:hAnsi="Times New Roman"/>
                <w:b/>
                <w:color w:val="0D0D0D"/>
              </w:rPr>
              <w:t>Tên thủ tục hành chính</w:t>
            </w:r>
          </w:p>
        </w:tc>
        <w:tc>
          <w:tcPr>
            <w:tcW w:w="1114" w:type="dxa"/>
            <w:tcBorders>
              <w:top w:val="single" w:sz="4" w:space="0" w:color="auto"/>
              <w:left w:val="single" w:sz="4" w:space="0" w:color="auto"/>
              <w:bottom w:val="single" w:sz="4" w:space="0" w:color="auto"/>
              <w:right w:val="single" w:sz="4" w:space="0" w:color="auto"/>
            </w:tcBorders>
            <w:vAlign w:val="center"/>
          </w:tcPr>
          <w:p w14:paraId="7FBFD2C6" w14:textId="77777777" w:rsidR="00FA161E" w:rsidRPr="001E7AF6" w:rsidRDefault="00FA161E" w:rsidP="00F66D1D">
            <w:pPr>
              <w:rPr>
                <w:rFonts w:ascii="Times New Roman" w:hAnsi="Times New Roman"/>
                <w:b/>
                <w:color w:val="0D0D0D"/>
              </w:rPr>
            </w:pPr>
            <w:r w:rsidRPr="001E7AF6">
              <w:rPr>
                <w:rFonts w:ascii="Times New Roman" w:hAnsi="Times New Roman"/>
                <w:b/>
                <w:color w:val="0D0D0D"/>
              </w:rPr>
              <w:t>Thời hạn giải quyết</w:t>
            </w:r>
          </w:p>
        </w:tc>
        <w:tc>
          <w:tcPr>
            <w:tcW w:w="2702" w:type="dxa"/>
            <w:tcBorders>
              <w:top w:val="single" w:sz="4" w:space="0" w:color="auto"/>
              <w:left w:val="single" w:sz="4" w:space="0" w:color="auto"/>
              <w:bottom w:val="single" w:sz="4" w:space="0" w:color="auto"/>
              <w:right w:val="single" w:sz="4" w:space="0" w:color="auto"/>
            </w:tcBorders>
            <w:vAlign w:val="center"/>
          </w:tcPr>
          <w:p w14:paraId="7D060185" w14:textId="77777777" w:rsidR="00FA161E" w:rsidRPr="001E7AF6" w:rsidRDefault="00FA161E" w:rsidP="00F66D1D">
            <w:pPr>
              <w:rPr>
                <w:rFonts w:ascii="Times New Roman" w:hAnsi="Times New Roman"/>
                <w:b/>
                <w:color w:val="0D0D0D"/>
              </w:rPr>
            </w:pPr>
            <w:r w:rsidRPr="001E7AF6">
              <w:rPr>
                <w:rFonts w:ascii="Times New Roman" w:hAnsi="Times New Roman"/>
                <w:b/>
                <w:color w:val="0D0D0D"/>
              </w:rPr>
              <w:t>Địa điểm thực hiện</w:t>
            </w:r>
          </w:p>
        </w:tc>
        <w:tc>
          <w:tcPr>
            <w:tcW w:w="1959" w:type="dxa"/>
            <w:tcBorders>
              <w:top w:val="single" w:sz="4" w:space="0" w:color="auto"/>
              <w:left w:val="single" w:sz="4" w:space="0" w:color="auto"/>
              <w:bottom w:val="single" w:sz="4" w:space="0" w:color="auto"/>
              <w:right w:val="single" w:sz="4" w:space="0" w:color="auto"/>
            </w:tcBorders>
            <w:vAlign w:val="center"/>
          </w:tcPr>
          <w:p w14:paraId="6A753470" w14:textId="77777777" w:rsidR="00FA161E" w:rsidRPr="001E7AF6" w:rsidRDefault="00FA161E" w:rsidP="00F66D1D">
            <w:pPr>
              <w:rPr>
                <w:rFonts w:ascii="Times New Roman" w:hAnsi="Times New Roman"/>
                <w:b/>
                <w:color w:val="0D0D0D"/>
              </w:rPr>
            </w:pPr>
            <w:r w:rsidRPr="001E7AF6">
              <w:rPr>
                <w:rFonts w:ascii="Times New Roman" w:hAnsi="Times New Roman"/>
                <w:b/>
                <w:color w:val="0D0D0D"/>
              </w:rPr>
              <w:t>Cơ quan</w:t>
            </w:r>
          </w:p>
          <w:p w14:paraId="2D69A6E6" w14:textId="77777777" w:rsidR="00FA161E" w:rsidRPr="001E7AF6" w:rsidRDefault="00FA161E" w:rsidP="00F66D1D">
            <w:pPr>
              <w:rPr>
                <w:rFonts w:ascii="Times New Roman" w:hAnsi="Times New Roman"/>
                <w:b/>
                <w:color w:val="0D0D0D"/>
              </w:rPr>
            </w:pPr>
            <w:r w:rsidRPr="001E7AF6">
              <w:rPr>
                <w:rFonts w:ascii="Times New Roman" w:hAnsi="Times New Roman"/>
                <w:b/>
                <w:color w:val="0D0D0D"/>
              </w:rPr>
              <w:t>thực hiện</w:t>
            </w:r>
          </w:p>
        </w:tc>
        <w:tc>
          <w:tcPr>
            <w:tcW w:w="2089" w:type="dxa"/>
            <w:tcBorders>
              <w:top w:val="single" w:sz="4" w:space="0" w:color="auto"/>
              <w:left w:val="single" w:sz="4" w:space="0" w:color="auto"/>
              <w:bottom w:val="single" w:sz="4" w:space="0" w:color="auto"/>
              <w:right w:val="single" w:sz="4" w:space="0" w:color="auto"/>
            </w:tcBorders>
            <w:vAlign w:val="center"/>
          </w:tcPr>
          <w:p w14:paraId="493482D9" w14:textId="77777777" w:rsidR="00FA161E" w:rsidRPr="001E7AF6" w:rsidRDefault="00FA161E" w:rsidP="00F66D1D">
            <w:pPr>
              <w:rPr>
                <w:rFonts w:ascii="Times New Roman" w:hAnsi="Times New Roman"/>
                <w:b/>
                <w:color w:val="0D0D0D"/>
              </w:rPr>
            </w:pPr>
            <w:r w:rsidRPr="001E7AF6">
              <w:rPr>
                <w:rFonts w:ascii="Times New Roman" w:hAnsi="Times New Roman"/>
                <w:b/>
                <w:color w:val="0D0D0D"/>
              </w:rPr>
              <w:t>Phí, lệ phí</w:t>
            </w:r>
          </w:p>
        </w:tc>
        <w:tc>
          <w:tcPr>
            <w:tcW w:w="2226" w:type="dxa"/>
            <w:tcBorders>
              <w:top w:val="single" w:sz="4" w:space="0" w:color="auto"/>
              <w:left w:val="single" w:sz="4" w:space="0" w:color="auto"/>
              <w:bottom w:val="single" w:sz="4" w:space="0" w:color="auto"/>
              <w:right w:val="single" w:sz="4" w:space="0" w:color="auto"/>
            </w:tcBorders>
            <w:shd w:val="clear" w:color="auto" w:fill="auto"/>
            <w:vAlign w:val="center"/>
          </w:tcPr>
          <w:p w14:paraId="7E8C88A2" w14:textId="77777777" w:rsidR="00FA161E" w:rsidRPr="001E7AF6" w:rsidRDefault="00FA161E" w:rsidP="00F66D1D">
            <w:pPr>
              <w:rPr>
                <w:rFonts w:ascii="Times New Roman" w:hAnsi="Times New Roman"/>
                <w:b/>
                <w:color w:val="0D0D0D"/>
              </w:rPr>
            </w:pPr>
            <w:r w:rsidRPr="001E7AF6">
              <w:rPr>
                <w:rFonts w:ascii="Times New Roman" w:hAnsi="Times New Roman"/>
                <w:b/>
                <w:color w:val="0D0D0D"/>
              </w:rPr>
              <w:t>Căn cứ pháp lý</w:t>
            </w:r>
          </w:p>
          <w:p w14:paraId="7062ABD4" w14:textId="77777777" w:rsidR="00FA161E" w:rsidRPr="001E7AF6" w:rsidRDefault="00FA161E" w:rsidP="00F66D1D">
            <w:pPr>
              <w:rPr>
                <w:rFonts w:ascii="Times New Roman" w:hAnsi="Times New Roman"/>
                <w:b/>
                <w:color w:val="0D0D0D"/>
              </w:rPr>
            </w:pPr>
            <w:r w:rsidRPr="001E7AF6">
              <w:rPr>
                <w:rFonts w:ascii="Times New Roman" w:hAnsi="Times New Roman"/>
                <w:color w:val="0D0D0D"/>
              </w:rPr>
              <w:t>(Sửa đổi, bổ sung)</w:t>
            </w:r>
            <w:r w:rsidRPr="001E7AF6">
              <w:rPr>
                <w:rStyle w:val="FootnoteReference"/>
                <w:rFonts w:ascii="Times New Roman" w:hAnsi="Times New Roman"/>
                <w:color w:val="0D0D0D"/>
              </w:rPr>
              <w:footnoteReference w:id="1"/>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1466E352" w14:textId="77777777" w:rsidR="00FA161E" w:rsidRPr="001E7AF6" w:rsidRDefault="00FA161E" w:rsidP="00F66D1D">
            <w:pPr>
              <w:rPr>
                <w:rFonts w:ascii="Times New Roman" w:hAnsi="Times New Roman"/>
                <w:b/>
                <w:color w:val="0D0D0D"/>
                <w:lang w:val="fr-FR"/>
              </w:rPr>
            </w:pPr>
            <w:r w:rsidRPr="001E7AF6">
              <w:rPr>
                <w:rFonts w:ascii="Times New Roman" w:hAnsi="Times New Roman"/>
                <w:b/>
                <w:color w:val="0D0D0D"/>
                <w:lang w:val="fr-FR"/>
              </w:rPr>
              <w:t>Ghi chú</w:t>
            </w:r>
            <w:r w:rsidRPr="001E7AF6">
              <w:rPr>
                <w:rStyle w:val="FootnoteReference"/>
                <w:rFonts w:ascii="Times New Roman" w:hAnsi="Times New Roman"/>
                <w:b/>
                <w:color w:val="0D0D0D"/>
                <w:lang w:val="fr-FR"/>
              </w:rPr>
              <w:footnoteReference w:id="2"/>
            </w:r>
          </w:p>
        </w:tc>
      </w:tr>
      <w:tr w:rsidR="00FA161E" w:rsidRPr="001E7AF6" w14:paraId="44E96031" w14:textId="77777777" w:rsidTr="00F66D1D">
        <w:trPr>
          <w:trHeight w:val="620"/>
          <w:jc w:val="center"/>
        </w:trPr>
        <w:tc>
          <w:tcPr>
            <w:tcW w:w="631" w:type="dxa"/>
            <w:tcBorders>
              <w:top w:val="single" w:sz="4" w:space="0" w:color="auto"/>
              <w:left w:val="single" w:sz="4" w:space="0" w:color="auto"/>
              <w:bottom w:val="single" w:sz="4" w:space="0" w:color="auto"/>
              <w:right w:val="single" w:sz="4" w:space="0" w:color="auto"/>
            </w:tcBorders>
            <w:vAlign w:val="center"/>
          </w:tcPr>
          <w:p w14:paraId="0398FE08" w14:textId="77777777" w:rsidR="00FA161E" w:rsidRPr="001E7AF6" w:rsidRDefault="00FA161E" w:rsidP="00F66D1D">
            <w:pPr>
              <w:spacing w:before="60" w:after="60" w:line="264" w:lineRule="auto"/>
              <w:rPr>
                <w:rFonts w:ascii="Times New Roman" w:hAnsi="Times New Roman"/>
                <w:b/>
                <w:color w:val="0D0D0D"/>
              </w:rPr>
            </w:pPr>
            <w:r w:rsidRPr="001E7AF6">
              <w:rPr>
                <w:rFonts w:ascii="Times New Roman" w:hAnsi="Times New Roman"/>
                <w:b/>
                <w:color w:val="0D0D0D"/>
              </w:rPr>
              <w:t>A</w:t>
            </w:r>
          </w:p>
        </w:tc>
        <w:tc>
          <w:tcPr>
            <w:tcW w:w="14692" w:type="dxa"/>
            <w:gridSpan w:val="8"/>
            <w:tcBorders>
              <w:top w:val="single" w:sz="4" w:space="0" w:color="auto"/>
              <w:left w:val="single" w:sz="4" w:space="0" w:color="auto"/>
              <w:bottom w:val="single" w:sz="4" w:space="0" w:color="auto"/>
              <w:right w:val="single" w:sz="4" w:space="0" w:color="auto"/>
            </w:tcBorders>
            <w:vAlign w:val="center"/>
          </w:tcPr>
          <w:p w14:paraId="1F561827" w14:textId="77777777" w:rsidR="00FA161E" w:rsidRPr="001E7AF6" w:rsidRDefault="00FA161E" w:rsidP="00F66D1D">
            <w:pPr>
              <w:spacing w:before="60" w:after="60" w:line="264" w:lineRule="auto"/>
              <w:rPr>
                <w:rFonts w:ascii="Times New Roman" w:hAnsi="Times New Roman"/>
                <w:b/>
                <w:color w:val="0D0D0D"/>
                <w:lang w:val="sv-SE"/>
              </w:rPr>
            </w:pPr>
            <w:r w:rsidRPr="001E7AF6">
              <w:rPr>
                <w:rFonts w:ascii="Times New Roman" w:hAnsi="Times New Roman"/>
                <w:b/>
                <w:color w:val="0D0D0D"/>
              </w:rPr>
              <w:t>DANH MỤC THỦ TỤC HÀNH CHÍNH ĐƯỢC SỬA ĐỔI, BỔ SUNG</w:t>
            </w:r>
          </w:p>
        </w:tc>
      </w:tr>
      <w:tr w:rsidR="00FA161E" w:rsidRPr="001E7AF6" w14:paraId="3356F98F" w14:textId="77777777" w:rsidTr="00F66D1D">
        <w:trPr>
          <w:trHeight w:val="4292"/>
          <w:jc w:val="center"/>
        </w:trPr>
        <w:tc>
          <w:tcPr>
            <w:tcW w:w="631" w:type="dxa"/>
            <w:tcBorders>
              <w:top w:val="single" w:sz="4" w:space="0" w:color="auto"/>
              <w:left w:val="single" w:sz="4" w:space="0" w:color="auto"/>
              <w:bottom w:val="single" w:sz="4" w:space="0" w:color="auto"/>
              <w:right w:val="single" w:sz="4" w:space="0" w:color="auto"/>
            </w:tcBorders>
            <w:vAlign w:val="center"/>
          </w:tcPr>
          <w:p w14:paraId="597C7311" w14:textId="77777777" w:rsidR="00FA161E" w:rsidRPr="001E7AF6" w:rsidRDefault="00FA161E" w:rsidP="00F66D1D">
            <w:pPr>
              <w:spacing w:before="60" w:after="60" w:line="264" w:lineRule="auto"/>
              <w:rPr>
                <w:rFonts w:ascii="Times New Roman" w:hAnsi="Times New Roman"/>
                <w:color w:val="0D0D0D"/>
              </w:rPr>
            </w:pPr>
            <w:r w:rsidRPr="001E7AF6">
              <w:rPr>
                <w:rFonts w:ascii="Times New Roman" w:hAnsi="Times New Roman"/>
                <w:color w:val="0D0D0D"/>
                <w:lang w:eastAsia="en-GB"/>
              </w:rPr>
              <w:t>1</w:t>
            </w:r>
          </w:p>
        </w:tc>
        <w:tc>
          <w:tcPr>
            <w:tcW w:w="1103" w:type="dxa"/>
            <w:tcBorders>
              <w:top w:val="single" w:sz="4" w:space="0" w:color="auto"/>
              <w:left w:val="single" w:sz="4" w:space="0" w:color="auto"/>
              <w:bottom w:val="single" w:sz="4" w:space="0" w:color="auto"/>
              <w:right w:val="single" w:sz="4" w:space="0" w:color="auto"/>
            </w:tcBorders>
            <w:vAlign w:val="center"/>
          </w:tcPr>
          <w:p w14:paraId="165733FC" w14:textId="77777777" w:rsidR="00FA161E" w:rsidRPr="001E7AF6" w:rsidRDefault="00FA161E" w:rsidP="00F66D1D">
            <w:pPr>
              <w:spacing w:before="60" w:after="60" w:line="264" w:lineRule="auto"/>
              <w:rPr>
                <w:rFonts w:ascii="Times New Roman" w:hAnsi="Times New Roman"/>
                <w:color w:val="0D0D0D"/>
              </w:rPr>
            </w:pPr>
            <w:hyperlink r:id="rId7" w:history="1">
              <w:r w:rsidRPr="001E7AF6">
                <w:rPr>
                  <w:rStyle w:val="link"/>
                  <w:rFonts w:ascii="Times New Roman" w:hAnsi="Times New Roman"/>
                  <w:color w:val="0D0D0D"/>
                </w:rPr>
                <w:t>2.001738</w:t>
              </w:r>
            </w:hyperlink>
          </w:p>
        </w:tc>
        <w:tc>
          <w:tcPr>
            <w:tcW w:w="1811" w:type="dxa"/>
            <w:tcBorders>
              <w:top w:val="single" w:sz="4" w:space="0" w:color="auto"/>
              <w:left w:val="single" w:sz="4" w:space="0" w:color="auto"/>
              <w:bottom w:val="single" w:sz="4" w:space="0" w:color="auto"/>
              <w:right w:val="single" w:sz="4" w:space="0" w:color="auto"/>
            </w:tcBorders>
            <w:vAlign w:val="center"/>
          </w:tcPr>
          <w:p w14:paraId="2A721819" w14:textId="77777777" w:rsidR="00FA161E" w:rsidRPr="001E7AF6" w:rsidRDefault="00FA161E" w:rsidP="00F66D1D">
            <w:pPr>
              <w:spacing w:before="60" w:after="60" w:line="264" w:lineRule="auto"/>
              <w:rPr>
                <w:rFonts w:ascii="Times New Roman" w:hAnsi="Times New Roman"/>
                <w:color w:val="0D0D0D"/>
              </w:rPr>
            </w:pPr>
            <w:r w:rsidRPr="001E7AF6">
              <w:rPr>
                <w:rFonts w:ascii="Times New Roman" w:hAnsi="Times New Roman"/>
                <w:color w:val="0D0D0D"/>
              </w:rPr>
              <w:t>Gia hạn, điều chỉnh nội dung giấy phép hành nghề khoan nước dưới đất quy mô vừa và nhỏ</w:t>
            </w:r>
          </w:p>
        </w:tc>
        <w:tc>
          <w:tcPr>
            <w:tcW w:w="1114" w:type="dxa"/>
            <w:tcBorders>
              <w:top w:val="single" w:sz="4" w:space="0" w:color="auto"/>
              <w:left w:val="single" w:sz="4" w:space="0" w:color="auto"/>
              <w:bottom w:val="single" w:sz="4" w:space="0" w:color="auto"/>
              <w:right w:val="single" w:sz="4" w:space="0" w:color="auto"/>
            </w:tcBorders>
            <w:vAlign w:val="center"/>
          </w:tcPr>
          <w:p w14:paraId="761350D8" w14:textId="77777777" w:rsidR="00FA161E" w:rsidRPr="001E7AF6" w:rsidRDefault="00FA161E" w:rsidP="00F66D1D">
            <w:pPr>
              <w:spacing w:before="60" w:after="60" w:line="264" w:lineRule="auto"/>
              <w:rPr>
                <w:rFonts w:ascii="Times New Roman" w:hAnsi="Times New Roman"/>
                <w:bCs/>
                <w:color w:val="0D0D0D"/>
                <w:lang w:val="vi-VN"/>
              </w:rPr>
            </w:pPr>
            <w:r w:rsidRPr="001E7AF6">
              <w:rPr>
                <w:rFonts w:ascii="Times New Roman" w:hAnsi="Times New Roman"/>
                <w:color w:val="0D0D0D"/>
              </w:rPr>
              <w:t>16 ngày làm việc</w:t>
            </w:r>
          </w:p>
        </w:tc>
        <w:tc>
          <w:tcPr>
            <w:tcW w:w="2702" w:type="dxa"/>
            <w:tcBorders>
              <w:top w:val="single" w:sz="4" w:space="0" w:color="auto"/>
              <w:left w:val="single" w:sz="4" w:space="0" w:color="auto"/>
              <w:bottom w:val="single" w:sz="4" w:space="0" w:color="auto"/>
              <w:right w:val="single" w:sz="4" w:space="0" w:color="auto"/>
            </w:tcBorders>
            <w:vAlign w:val="center"/>
          </w:tcPr>
          <w:p w14:paraId="5E115F89" w14:textId="77777777" w:rsidR="00FA161E" w:rsidRPr="001E7AF6" w:rsidRDefault="00FA161E" w:rsidP="00F66D1D">
            <w:pPr>
              <w:spacing w:before="60" w:after="60" w:line="264" w:lineRule="auto"/>
              <w:rPr>
                <w:rFonts w:ascii="Times New Roman" w:hAnsi="Times New Roman"/>
                <w:color w:val="0D0D0D"/>
              </w:rPr>
            </w:pPr>
            <w:r w:rsidRPr="001E7AF6">
              <w:rPr>
                <w:rFonts w:ascii="Times New Roman" w:hAnsi="Times New Roman"/>
                <w:color w:val="0D0D0D"/>
              </w:rPr>
              <w:t>Nộp hồ sơ tại:</w:t>
            </w:r>
          </w:p>
          <w:p w14:paraId="5B8AE85B" w14:textId="77777777" w:rsidR="00FA161E" w:rsidRPr="001E7AF6" w:rsidRDefault="00FA161E" w:rsidP="00F66D1D">
            <w:pPr>
              <w:spacing w:before="60" w:after="60" w:line="264" w:lineRule="auto"/>
              <w:rPr>
                <w:rFonts w:ascii="Times New Roman" w:hAnsi="Times New Roman"/>
                <w:color w:val="0D0D0D"/>
              </w:rPr>
            </w:pPr>
            <w:r w:rsidRPr="001E7AF6">
              <w:rPr>
                <w:rFonts w:ascii="Times New Roman" w:hAnsi="Times New Roman"/>
                <w:color w:val="0D0D0D"/>
              </w:rPr>
              <w:t xml:space="preserve">- Trực tiếp tại Trung tâm Phục vụ hành chính công của tỉnh hoặc qua dịch vụ bưu chính công ích </w:t>
            </w:r>
          </w:p>
          <w:p w14:paraId="7B00BFE0" w14:textId="77777777" w:rsidR="00FA161E" w:rsidRPr="001E7AF6" w:rsidRDefault="00FA161E" w:rsidP="00F66D1D">
            <w:pPr>
              <w:spacing w:before="60" w:after="60" w:line="264" w:lineRule="auto"/>
              <w:rPr>
                <w:rFonts w:ascii="Times New Roman" w:hAnsi="Times New Roman"/>
                <w:color w:val="0D0D0D"/>
              </w:rPr>
            </w:pPr>
            <w:r w:rsidRPr="001E7AF6">
              <w:rPr>
                <w:rFonts w:ascii="Times New Roman" w:hAnsi="Times New Roman"/>
                <w:color w:val="0D0D0D"/>
              </w:rPr>
              <w:t>(Địa chỉ: số 236, đường Phan Trung, phường Tân Tiến, thành phố Biên Hòa, tỉnh Đồng Nai)</w:t>
            </w:r>
          </w:p>
          <w:p w14:paraId="66CDE5E4" w14:textId="77777777" w:rsidR="00FA161E" w:rsidRPr="001E7AF6" w:rsidRDefault="00FA161E" w:rsidP="00F66D1D">
            <w:pPr>
              <w:spacing w:before="60" w:after="60" w:line="264" w:lineRule="auto"/>
              <w:rPr>
                <w:rFonts w:ascii="Times New Roman" w:hAnsi="Times New Roman"/>
                <w:color w:val="0D0D0D"/>
              </w:rPr>
            </w:pPr>
            <w:r w:rsidRPr="001E7AF6">
              <w:rPr>
                <w:rFonts w:ascii="Times New Roman" w:hAnsi="Times New Roman"/>
                <w:color w:val="0D0D0D"/>
              </w:rPr>
              <w:t xml:space="preserve">- Trực tuyến qua cổng dịch vụ công của tỉnh tại địa chỉ: </w:t>
            </w:r>
            <w:hyperlink r:id="rId8" w:history="1">
              <w:r w:rsidRPr="001E7AF6">
                <w:rPr>
                  <w:rStyle w:val="Hyperlink"/>
                  <w:rFonts w:ascii="Times New Roman" w:hAnsi="Times New Roman"/>
                  <w:color w:val="0D0D0D"/>
                </w:rPr>
                <w:t>https://dichvucong.dongnai.gov.vn/</w:t>
              </w:r>
            </w:hyperlink>
          </w:p>
        </w:tc>
        <w:tc>
          <w:tcPr>
            <w:tcW w:w="1959" w:type="dxa"/>
            <w:tcBorders>
              <w:top w:val="single" w:sz="4" w:space="0" w:color="auto"/>
              <w:left w:val="single" w:sz="4" w:space="0" w:color="auto"/>
              <w:bottom w:val="single" w:sz="4" w:space="0" w:color="auto"/>
              <w:right w:val="single" w:sz="4" w:space="0" w:color="auto"/>
            </w:tcBorders>
            <w:vAlign w:val="center"/>
          </w:tcPr>
          <w:p w14:paraId="03F93CDD" w14:textId="77777777" w:rsidR="00FA161E" w:rsidRPr="001E7AF6" w:rsidRDefault="00FA161E" w:rsidP="00F66D1D">
            <w:pPr>
              <w:spacing w:before="60" w:after="60" w:line="264" w:lineRule="auto"/>
              <w:rPr>
                <w:rFonts w:ascii="Times New Roman" w:hAnsi="Times New Roman"/>
                <w:color w:val="0D0D0D"/>
              </w:rPr>
            </w:pPr>
            <w:r w:rsidRPr="001E7AF6">
              <w:rPr>
                <w:rFonts w:ascii="Times New Roman" w:hAnsi="Times New Roman"/>
                <w:color w:val="0D0D0D"/>
              </w:rPr>
              <w:t>- Cơ quan có thẩm quyền quyết định: Sở Tài nguyên và Môi trường</w:t>
            </w:r>
          </w:p>
          <w:p w14:paraId="0BA0A662" w14:textId="77777777" w:rsidR="00FA161E" w:rsidRPr="001E7AF6" w:rsidRDefault="00FA161E" w:rsidP="00F66D1D">
            <w:pPr>
              <w:spacing w:before="60" w:after="60" w:line="264" w:lineRule="auto"/>
              <w:rPr>
                <w:rFonts w:ascii="Times New Roman" w:hAnsi="Times New Roman"/>
                <w:color w:val="0D0D0D"/>
              </w:rPr>
            </w:pPr>
            <w:r w:rsidRPr="001E7AF6">
              <w:rPr>
                <w:rFonts w:ascii="Times New Roman" w:hAnsi="Times New Roman"/>
                <w:color w:val="0D0D0D"/>
              </w:rPr>
              <w:t>- Cơ quan trực tiếp thực hiện: Phòng Tài nguyên nước, khoáng sản</w:t>
            </w:r>
          </w:p>
        </w:tc>
        <w:tc>
          <w:tcPr>
            <w:tcW w:w="2089" w:type="dxa"/>
            <w:tcBorders>
              <w:top w:val="single" w:sz="4" w:space="0" w:color="auto"/>
              <w:left w:val="single" w:sz="4" w:space="0" w:color="auto"/>
              <w:bottom w:val="single" w:sz="4" w:space="0" w:color="auto"/>
              <w:right w:val="single" w:sz="4" w:space="0" w:color="auto"/>
            </w:tcBorders>
            <w:vAlign w:val="center"/>
          </w:tcPr>
          <w:p w14:paraId="2D1BA4A4" w14:textId="77777777" w:rsidR="00FA161E" w:rsidRPr="001E7AF6" w:rsidRDefault="00FA161E" w:rsidP="00F66D1D">
            <w:pPr>
              <w:spacing w:before="60" w:after="60" w:line="264" w:lineRule="auto"/>
              <w:rPr>
                <w:rFonts w:ascii="Times New Roman" w:hAnsi="Times New Roman"/>
                <w:i/>
                <w:color w:val="0D0D0D"/>
              </w:rPr>
            </w:pPr>
            <w:r w:rsidRPr="001E7AF6">
              <w:rPr>
                <w:rFonts w:ascii="Times New Roman" w:hAnsi="Times New Roman"/>
                <w:iCs/>
                <w:color w:val="0D0D0D"/>
              </w:rPr>
              <w:t>Nghị quyết số 16/2020/NQ-HĐND ngày 10/7/2020 của Hội đồng nhân dân tỉnh Đồng Nai và</w:t>
            </w:r>
            <w:r w:rsidRPr="001E7AF6">
              <w:rPr>
                <w:rFonts w:ascii="Times New Roman" w:hAnsi="Times New Roman"/>
                <w:i/>
                <w:color w:val="0D0D0D"/>
              </w:rPr>
              <w:t xml:space="preserve"> Nghị quyết số 19/2023/NQ-HĐND ngày 29/9/2023 của Hội đồng nhân dân tỉnh Đồng Nai</w:t>
            </w:r>
          </w:p>
        </w:tc>
        <w:tc>
          <w:tcPr>
            <w:tcW w:w="2226" w:type="dxa"/>
            <w:tcBorders>
              <w:top w:val="single" w:sz="4" w:space="0" w:color="auto"/>
              <w:left w:val="single" w:sz="4" w:space="0" w:color="auto"/>
              <w:bottom w:val="single" w:sz="4" w:space="0" w:color="auto"/>
              <w:right w:val="single" w:sz="4" w:space="0" w:color="auto"/>
            </w:tcBorders>
            <w:vAlign w:val="center"/>
          </w:tcPr>
          <w:p w14:paraId="1887F369" w14:textId="77777777" w:rsidR="00FA161E" w:rsidRPr="001E7AF6" w:rsidRDefault="00FA161E" w:rsidP="00F66D1D">
            <w:pPr>
              <w:spacing w:before="60" w:after="60" w:line="264" w:lineRule="auto"/>
              <w:jc w:val="left"/>
              <w:rPr>
                <w:rFonts w:ascii="Times New Roman" w:hAnsi="Times New Roman"/>
                <w:color w:val="0D0D0D"/>
              </w:rPr>
            </w:pPr>
            <w:r w:rsidRPr="001E7AF6">
              <w:rPr>
                <w:rFonts w:ascii="Times New Roman" w:hAnsi="Times New Roman"/>
                <w:color w:val="0D0D0D"/>
              </w:rPr>
              <w:t>- Thông tư số 40/2014/TTBTNMT ngày 11/7/2014;</w:t>
            </w:r>
          </w:p>
          <w:p w14:paraId="3291AFBA" w14:textId="77777777" w:rsidR="00FA161E" w:rsidRPr="001E7AF6" w:rsidRDefault="00FA161E" w:rsidP="00F66D1D">
            <w:pPr>
              <w:spacing w:before="60" w:after="60" w:line="264" w:lineRule="auto"/>
              <w:jc w:val="left"/>
              <w:rPr>
                <w:rFonts w:ascii="Times New Roman" w:hAnsi="Times New Roman"/>
                <w:color w:val="0D0D0D"/>
              </w:rPr>
            </w:pPr>
            <w:r w:rsidRPr="001E7AF6">
              <w:rPr>
                <w:rFonts w:ascii="Times New Roman" w:hAnsi="Times New Roman"/>
                <w:color w:val="0D0D0D"/>
              </w:rPr>
              <w:t>- Thông tư số 11/2022/TTBTNMT ngày 20/10/2022;</w:t>
            </w:r>
          </w:p>
          <w:p w14:paraId="1A0F4F56" w14:textId="77777777" w:rsidR="00FA161E" w:rsidRPr="001E7AF6" w:rsidRDefault="00FA161E" w:rsidP="00F66D1D">
            <w:pPr>
              <w:spacing w:before="60" w:after="60" w:line="264" w:lineRule="auto"/>
              <w:jc w:val="left"/>
              <w:rPr>
                <w:rFonts w:ascii="Times New Roman" w:hAnsi="Times New Roman"/>
                <w:color w:val="0D0D0D"/>
              </w:rPr>
            </w:pPr>
            <w:r w:rsidRPr="001E7AF6">
              <w:rPr>
                <w:rFonts w:ascii="Times New Roman" w:hAnsi="Times New Roman"/>
                <w:color w:val="0D0D0D"/>
              </w:rPr>
              <w:t>- Nghị định số 22/2023/NĐCP ngày 12/5/2023;</w:t>
            </w:r>
          </w:p>
          <w:p w14:paraId="586344C6" w14:textId="77777777" w:rsidR="00FA161E" w:rsidRPr="001E7AF6" w:rsidRDefault="00FA161E" w:rsidP="00F66D1D">
            <w:pPr>
              <w:spacing w:before="60" w:after="60" w:line="264" w:lineRule="auto"/>
              <w:jc w:val="left"/>
              <w:rPr>
                <w:rFonts w:ascii="Times New Roman" w:hAnsi="Times New Roman"/>
                <w:i/>
                <w:iCs/>
                <w:color w:val="0D0D0D"/>
              </w:rPr>
            </w:pPr>
            <w:r w:rsidRPr="001E7AF6">
              <w:rPr>
                <w:rFonts w:ascii="Times New Roman" w:hAnsi="Times New Roman"/>
                <w:color w:val="0D0D0D"/>
              </w:rPr>
              <w:t>- Thông tư 09/2023/TTBTNMT ngày 14/9/2023</w:t>
            </w:r>
          </w:p>
        </w:tc>
        <w:tc>
          <w:tcPr>
            <w:tcW w:w="1688" w:type="dxa"/>
            <w:tcBorders>
              <w:top w:val="single" w:sz="4" w:space="0" w:color="auto"/>
              <w:left w:val="single" w:sz="4" w:space="0" w:color="auto"/>
              <w:bottom w:val="single" w:sz="4" w:space="0" w:color="auto"/>
              <w:right w:val="single" w:sz="4" w:space="0" w:color="auto"/>
            </w:tcBorders>
            <w:vAlign w:val="center"/>
          </w:tcPr>
          <w:p w14:paraId="7352320C" w14:textId="77777777" w:rsidR="00FA161E" w:rsidRPr="001E7AF6" w:rsidRDefault="00FA161E" w:rsidP="00F66D1D">
            <w:pPr>
              <w:spacing w:before="60" w:after="60" w:line="264" w:lineRule="auto"/>
              <w:rPr>
                <w:rFonts w:ascii="Times New Roman" w:hAnsi="Times New Roman"/>
                <w:i/>
                <w:iCs/>
                <w:color w:val="0D0D0D"/>
                <w:lang w:val="sv-SE"/>
              </w:rPr>
            </w:pPr>
            <w:r w:rsidRPr="001E7AF6">
              <w:rPr>
                <w:rFonts w:ascii="Times New Roman" w:hAnsi="Times New Roman"/>
                <w:i/>
                <w:iCs/>
                <w:color w:val="0D0D0D"/>
              </w:rPr>
              <w:t>N</w:t>
            </w:r>
            <w:r w:rsidRPr="001E7AF6">
              <w:rPr>
                <w:rFonts w:ascii="Times New Roman" w:hAnsi="Times New Roman"/>
                <w:i/>
                <w:iCs/>
                <w:color w:val="0D0D0D"/>
                <w:lang w:val="sv-SE"/>
              </w:rPr>
              <w:t>ội dung TTHC thực hiện theo Quyết định số 2684/QĐ-BTNMT ngày 18/9/2023</w:t>
            </w:r>
            <w:r w:rsidRPr="001E7AF6">
              <w:rPr>
                <w:rFonts w:ascii="Times New Roman" w:hAnsi="Times New Roman"/>
                <w:i/>
                <w:iCs/>
                <w:color w:val="0D0D0D"/>
              </w:rPr>
              <w:t xml:space="preserve"> của Bộ trưởng Bộ Tài nguyên và Môi trường</w:t>
            </w:r>
          </w:p>
        </w:tc>
      </w:tr>
    </w:tbl>
    <w:p w14:paraId="0AF62429" w14:textId="1B9B91AC" w:rsidR="00FA161E" w:rsidRPr="00FA161E" w:rsidRDefault="00FA161E" w:rsidP="00434720">
      <w:pPr>
        <w:pStyle w:val="NormalWeb"/>
        <w:shd w:val="clear" w:color="auto" w:fill="FFFFFF"/>
        <w:spacing w:before="120" w:beforeAutospacing="0" w:after="120" w:afterAutospacing="0" w:line="264" w:lineRule="auto"/>
        <w:ind w:firstLine="540"/>
        <w:jc w:val="both"/>
        <w:rPr>
          <w:rFonts w:ascii="Times New Roman" w:hAnsi="Times New Roman"/>
          <w:b/>
          <w:sz w:val="28"/>
          <w:szCs w:val="28"/>
        </w:rPr>
      </w:pPr>
      <w:r w:rsidRPr="00FA161E">
        <w:rPr>
          <w:rFonts w:ascii="Times New Roman" w:hAnsi="Times New Roman"/>
          <w:b/>
          <w:sz w:val="28"/>
          <w:szCs w:val="28"/>
        </w:rPr>
        <w:t xml:space="preserve">2.  Link tham khảo </w:t>
      </w:r>
    </w:p>
    <w:p w14:paraId="3A303AAB" w14:textId="54307C34" w:rsidR="00FA161E" w:rsidRDefault="00FA161E" w:rsidP="00434720">
      <w:pPr>
        <w:pStyle w:val="NormalWeb"/>
        <w:shd w:val="clear" w:color="auto" w:fill="FFFFFF"/>
        <w:spacing w:before="120" w:beforeAutospacing="0" w:after="120" w:afterAutospacing="0" w:line="264" w:lineRule="auto"/>
        <w:ind w:firstLine="540"/>
        <w:jc w:val="both"/>
        <w:rPr>
          <w:rFonts w:ascii="Times New Roman" w:hAnsi="Times New Roman"/>
          <w:sz w:val="26"/>
          <w:szCs w:val="26"/>
        </w:rPr>
      </w:pPr>
      <w:hyperlink r:id="rId9" w:history="1">
        <w:r w:rsidRPr="00CE324D">
          <w:rPr>
            <w:rStyle w:val="Hyperlink"/>
            <w:rFonts w:ascii="Times New Roman" w:hAnsi="Times New Roman"/>
            <w:sz w:val="26"/>
            <w:szCs w:val="26"/>
          </w:rPr>
          <w:t>https://dichvucong.gov.vn/p/home/dvc-chi-tiet-thu-tuc-hanh-chinh.html?ma_thu_tuc=2.001738</w:t>
        </w:r>
      </w:hyperlink>
    </w:p>
    <w:p w14:paraId="3A4E5995" w14:textId="77777777" w:rsidR="00FA161E" w:rsidRDefault="00FA161E" w:rsidP="00434720">
      <w:pPr>
        <w:pStyle w:val="NormalWeb"/>
        <w:shd w:val="clear" w:color="auto" w:fill="FFFFFF"/>
        <w:spacing w:before="120" w:beforeAutospacing="0" w:after="120" w:afterAutospacing="0" w:line="264" w:lineRule="auto"/>
        <w:ind w:firstLine="540"/>
        <w:jc w:val="both"/>
        <w:rPr>
          <w:rFonts w:ascii="Times New Roman" w:hAnsi="Times New Roman"/>
          <w:sz w:val="26"/>
          <w:szCs w:val="26"/>
        </w:rPr>
      </w:pPr>
    </w:p>
    <w:p w14:paraId="1FB693BC" w14:textId="77777777" w:rsidR="00FA161E" w:rsidRDefault="00FA161E" w:rsidP="00434720">
      <w:pPr>
        <w:pStyle w:val="NormalWeb"/>
        <w:shd w:val="clear" w:color="auto" w:fill="FFFFFF"/>
        <w:spacing w:before="120" w:beforeAutospacing="0" w:after="120" w:afterAutospacing="0" w:line="264" w:lineRule="auto"/>
        <w:ind w:firstLine="540"/>
        <w:jc w:val="both"/>
        <w:rPr>
          <w:rFonts w:ascii="Times New Roman" w:hAnsi="Times New Roman"/>
          <w:sz w:val="26"/>
          <w:szCs w:val="26"/>
        </w:rPr>
        <w:sectPr w:rsidR="00FA161E" w:rsidSect="00FA161E">
          <w:pgSz w:w="16840" w:h="11900" w:orient="landscape" w:code="9"/>
          <w:pgMar w:top="1699" w:right="1138" w:bottom="1138" w:left="1138" w:header="454" w:footer="454" w:gutter="0"/>
          <w:cols w:space="720"/>
          <w:noEndnote/>
          <w:docGrid w:linePitch="360"/>
        </w:sectPr>
      </w:pPr>
    </w:p>
    <w:p w14:paraId="0B09EC6C" w14:textId="2B8F6A98" w:rsidR="00FD0784" w:rsidRDefault="00A96177" w:rsidP="00FA161E">
      <w:pPr>
        <w:pStyle w:val="NormalWeb"/>
        <w:shd w:val="clear" w:color="auto" w:fill="FFFFFF"/>
        <w:spacing w:before="120" w:beforeAutospacing="0" w:after="120" w:afterAutospacing="0" w:line="264" w:lineRule="auto"/>
        <w:ind w:firstLine="540"/>
        <w:jc w:val="both"/>
        <w:rPr>
          <w:rFonts w:ascii="Times New Roman" w:hAnsi="Times New Roman"/>
          <w:b/>
          <w:sz w:val="28"/>
          <w:szCs w:val="28"/>
        </w:rPr>
      </w:pPr>
      <w:r w:rsidRPr="00A96177">
        <w:rPr>
          <w:rFonts w:ascii="Times New Roman" w:hAnsi="Times New Roman"/>
          <w:b/>
          <w:sz w:val="28"/>
          <w:szCs w:val="28"/>
        </w:rPr>
        <w:lastRenderedPageBreak/>
        <w:t>3. Chi tiết thủ tục hành chính</w:t>
      </w:r>
    </w:p>
    <w:p w14:paraId="0283A18E" w14:textId="77777777" w:rsidR="001C27BE" w:rsidRDefault="001C27BE" w:rsidP="001C27BE">
      <w:pPr>
        <w:spacing w:after="300" w:line="276" w:lineRule="auto"/>
      </w:pPr>
      <w:r>
        <w:rPr>
          <w:rFonts w:ascii="Times New Roman" w:hAnsi="Times New Roman"/>
          <w:b/>
          <w:sz w:val="26"/>
        </w:rPr>
        <w:t>Chi tiết thủ tục hành chính</w:t>
      </w:r>
    </w:p>
    <w:p w14:paraId="0ED9718C" w14:textId="77777777" w:rsidR="001C27BE" w:rsidRDefault="001C27BE" w:rsidP="001C27BE">
      <w:pPr>
        <w:spacing w:line="276" w:lineRule="auto"/>
        <w:jc w:val="both"/>
      </w:pPr>
      <w:r>
        <w:rPr>
          <w:rFonts w:ascii="Times New Roman" w:hAnsi="Times New Roman"/>
          <w:b/>
          <w:sz w:val="26"/>
        </w:rPr>
        <w:t xml:space="preserve">Mã thủ tục: </w:t>
      </w:r>
      <w:r>
        <w:rPr>
          <w:rFonts w:ascii="Times New Roman" w:hAnsi="Times New Roman"/>
          <w:sz w:val="26"/>
        </w:rPr>
        <w:t>2.001738</w:t>
      </w:r>
    </w:p>
    <w:p w14:paraId="46E5BABD" w14:textId="77777777" w:rsidR="001C27BE" w:rsidRDefault="001C27BE" w:rsidP="001C27BE">
      <w:pPr>
        <w:spacing w:line="276" w:lineRule="auto"/>
        <w:jc w:val="both"/>
      </w:pPr>
      <w:r>
        <w:rPr>
          <w:rFonts w:ascii="Times New Roman" w:hAnsi="Times New Roman"/>
          <w:b/>
          <w:sz w:val="26"/>
        </w:rPr>
        <w:t xml:space="preserve">Số quyết định: </w:t>
      </w:r>
      <w:r>
        <w:rPr>
          <w:rFonts w:ascii="Times New Roman" w:hAnsi="Times New Roman"/>
          <w:sz w:val="26"/>
        </w:rPr>
        <w:t>2684/QĐ-BTNMT</w:t>
      </w:r>
    </w:p>
    <w:p w14:paraId="7639BBF3" w14:textId="77777777" w:rsidR="001C27BE" w:rsidRDefault="001C27BE" w:rsidP="001C27BE">
      <w:pPr>
        <w:spacing w:line="276" w:lineRule="auto"/>
        <w:jc w:val="both"/>
      </w:pPr>
      <w:r>
        <w:rPr>
          <w:rFonts w:ascii="Times New Roman" w:hAnsi="Times New Roman"/>
          <w:b/>
          <w:sz w:val="26"/>
        </w:rPr>
        <w:t xml:space="preserve">Tên thủ tục: </w:t>
      </w:r>
      <w:r>
        <w:rPr>
          <w:rFonts w:ascii="Times New Roman" w:hAnsi="Times New Roman"/>
          <w:sz w:val="26"/>
        </w:rPr>
        <w:t>Gia hạn, điều chỉnh nội dung giấy phép hành nghề khoan nước dưới đất quy mô vừa và nhỏ</w:t>
      </w:r>
    </w:p>
    <w:p w14:paraId="1FEC4A92" w14:textId="77777777" w:rsidR="001C27BE" w:rsidRDefault="001C27BE" w:rsidP="001C27BE">
      <w:pPr>
        <w:spacing w:line="276" w:lineRule="auto"/>
        <w:jc w:val="both"/>
      </w:pPr>
      <w:r>
        <w:rPr>
          <w:rFonts w:ascii="Times New Roman" w:hAnsi="Times New Roman"/>
          <w:b/>
          <w:sz w:val="26"/>
        </w:rPr>
        <w:t xml:space="preserve">Cấp thực hiện: </w:t>
      </w:r>
      <w:r>
        <w:rPr>
          <w:rFonts w:ascii="Times New Roman" w:hAnsi="Times New Roman"/>
          <w:sz w:val="26"/>
        </w:rPr>
        <w:t>Cấp Tỉnh</w:t>
      </w:r>
    </w:p>
    <w:p w14:paraId="46F58F17" w14:textId="77777777" w:rsidR="001C27BE" w:rsidRDefault="001C27BE" w:rsidP="001C27BE">
      <w:pPr>
        <w:spacing w:line="276" w:lineRule="auto"/>
        <w:jc w:val="both"/>
      </w:pPr>
      <w:r>
        <w:rPr>
          <w:rFonts w:ascii="Times New Roman" w:hAnsi="Times New Roman"/>
          <w:b/>
          <w:sz w:val="26"/>
        </w:rPr>
        <w:t xml:space="preserve">Loại thủ tục: </w:t>
      </w:r>
      <w:r>
        <w:rPr>
          <w:rFonts w:ascii="Times New Roman" w:hAnsi="Times New Roman"/>
          <w:sz w:val="26"/>
        </w:rPr>
        <w:t>TTHC được luật giao quy định chi tiết</w:t>
      </w:r>
    </w:p>
    <w:p w14:paraId="557F4D35" w14:textId="77777777" w:rsidR="001C27BE" w:rsidRDefault="001C27BE" w:rsidP="001C27BE">
      <w:pPr>
        <w:spacing w:line="276" w:lineRule="auto"/>
        <w:jc w:val="both"/>
      </w:pPr>
      <w:r>
        <w:rPr>
          <w:rFonts w:ascii="Times New Roman" w:hAnsi="Times New Roman"/>
          <w:b/>
          <w:sz w:val="26"/>
        </w:rPr>
        <w:t xml:space="preserve">Lĩnh vực: </w:t>
      </w:r>
      <w:r>
        <w:rPr>
          <w:rFonts w:ascii="Times New Roman" w:hAnsi="Times New Roman"/>
          <w:sz w:val="26"/>
        </w:rPr>
        <w:t>Tài nguyên nước</w:t>
      </w:r>
    </w:p>
    <w:p w14:paraId="0FC1BAA8" w14:textId="77777777" w:rsidR="001C27BE" w:rsidRDefault="001C27BE" w:rsidP="001C27BE">
      <w:pPr>
        <w:spacing w:line="276" w:lineRule="auto"/>
        <w:jc w:val="both"/>
      </w:pPr>
      <w:r>
        <w:rPr>
          <w:rFonts w:ascii="Times New Roman" w:hAnsi="Times New Roman"/>
          <w:b/>
          <w:sz w:val="26"/>
        </w:rPr>
        <w:t xml:space="preserve">Trình tự thực hiện: </w:t>
      </w:r>
    </w:p>
    <w:p w14:paraId="16226EB0" w14:textId="77777777" w:rsidR="001C27BE" w:rsidRDefault="001C27BE" w:rsidP="001C27BE">
      <w:pPr>
        <w:shd w:val="clear" w:color="auto" w:fill="F2F6F9"/>
        <w:spacing w:before="120" w:line="276" w:lineRule="auto"/>
        <w:jc w:val="both"/>
      </w:pPr>
    </w:p>
    <w:p w14:paraId="41FD1D7F" w14:textId="77777777" w:rsidR="001C27BE" w:rsidRDefault="001C27BE" w:rsidP="001C27BE">
      <w:pPr>
        <w:spacing w:line="276" w:lineRule="auto"/>
        <w:jc w:val="both"/>
      </w:pPr>
      <w:r>
        <w:rPr>
          <w:rFonts w:ascii="Times New Roman" w:hAnsi="Times New Roman"/>
          <w:sz w:val="26"/>
        </w:rPr>
        <w:t>a) Bước 1: Nộp hồ sơ: Tổ chức, cá nhân đề nghị cấp phép nộp 01 bộ hồ sơ trực tiếp hoặc gửi qua đường bưu điện hoặc gửi bản điện tử qua hệ thống dịch vụ công trực tuyến đến cơ quan chuyên môn về lĩnh vực tài nguyên nước thuộc Sở Tài nguyên và Môi trường. Trường hợp địa phương đã tổ chức Bộ phận một cửa hoặc Trung tâm Phục vụ hành chính công thì việc tiếp nhận hồ sơ và trả kết quả qua Bộ phận Một cửa hoặc Trung tâm Phục vụ hành chính công (sau đây gọi chung là Bộ phận Một cửa). Đối với hình thức nộp hồ sơ trên môi trường điện tử, thành phần hồ sơ phải nộp là các bản sao chứng thực điện tử.</w:t>
      </w:r>
    </w:p>
    <w:p w14:paraId="26615686" w14:textId="77777777" w:rsidR="001C27BE" w:rsidRDefault="001C27BE" w:rsidP="001C27BE">
      <w:pPr>
        <w:spacing w:line="276" w:lineRule="auto"/>
        <w:jc w:val="both"/>
      </w:pPr>
      <w:r>
        <w:rPr>
          <w:rFonts w:ascii="Times New Roman" w:hAnsi="Times New Roman"/>
          <w:sz w:val="26"/>
        </w:rPr>
        <w:t>b) Bước 2: Tiếp nhận hồ sơ: Cơ quan chuyên môn về lĩnh vực tài nguyên nước thuộc Sở Tài nguyên và Môi trường (sau đây gọi là cơ quan chuyên môn về lĩnh vực tài nguyên nước) có trách nhiệm tiếp nhận, thẩm định và quản lý hồ sơ, giấy phép thuộc thẩm quyền cấp phép của Sở Tài nguyên và Môi trường.  Trong thời hạn không quá 03 ngày làm việc, kể từ ngày nhận hồ sơ, cơ quan thụ lý hồ sơ cấp phép có trách nhiệm xem xét, kiểm tra tính đầy đủ, hợp lệ của hồ sơ. Trường hợp hồ sơ đề nghị cấp phép chưa đầy đủ, không hợp lệ, cơ quan thụ lý hồ sơ cấp phép trả lại hồ sơ và thông báo bằng văn bản cho tổ chức, cá nhân đề nghị cấp phép để bổ sung, hoàn thiện hồ sơ theo quy định.</w:t>
      </w:r>
    </w:p>
    <w:p w14:paraId="7F410DCB" w14:textId="77777777" w:rsidR="001C27BE" w:rsidRDefault="001C27BE" w:rsidP="001C27BE">
      <w:pPr>
        <w:spacing w:line="276" w:lineRule="auto"/>
        <w:jc w:val="both"/>
      </w:pPr>
      <w:r>
        <w:rPr>
          <w:rFonts w:ascii="Times New Roman" w:hAnsi="Times New Roman"/>
          <w:sz w:val="26"/>
        </w:rPr>
        <w:t>c) Bước 3: Thẩm định hồ sơ: Trong thời hạn không quá 10 ngày làm việc kể từ ngày nhận đủ hồ sơ hợp lệ, cơ quan chuyên môn về lĩnh vực tài nguyên nước thuộc Sở Tài nguyên và Môi trường có trách nhiệm thẩm định và trình cơ quan có thẩm quyền quyết định cấp phép; trường hợp hồ sơ không đủ điều kiện để cấp phép thì trả lại hồ sơ và thông báo bằng văn bản nêu rõ lý do không gia hạn, điều chỉnh nội dung giấy phép cho tổ chức, cá nhân đề nghị cấp phép.</w:t>
      </w:r>
    </w:p>
    <w:p w14:paraId="7DBB3102" w14:textId="77777777" w:rsidR="001C27BE" w:rsidRDefault="001C27BE" w:rsidP="001C27BE">
      <w:pPr>
        <w:spacing w:line="276" w:lineRule="auto"/>
        <w:jc w:val="both"/>
      </w:pPr>
      <w:r>
        <w:rPr>
          <w:rFonts w:ascii="Times New Roman" w:hAnsi="Times New Roman"/>
          <w:sz w:val="26"/>
        </w:rPr>
        <w:t>d) Bước 4: Quyết định cấp phép: Trong thời hạn không quá 03 ngày làm việc kể từ ngày nhận được hồ sơ trình cấp phép, cơ quan có thẩm quyền cấp phép quyết định cấp gia hạn, điều chỉnh nội dung giấy phép hành nghề khoan nước dưới đất quy mô vừa và nhỏ (theo Mẫu số 06, Phụ lục IV ban hành kèm theo Thông tư số 11/2022/TT-BTNMT). Trường hợp không chấp nhận cấp phép, trong thời hạn không quá 02 ngày làm việc, cơ quan thụ lý hồ sơ phải thông báo bằng văn bản cho tổ chức, cá nhân đề nghị cấp phép, trong đó nêu rõ lý do không cấp phép.</w:t>
      </w:r>
    </w:p>
    <w:p w14:paraId="11541B22" w14:textId="77777777" w:rsidR="001C27BE" w:rsidRDefault="001C27BE" w:rsidP="001C27BE">
      <w:pPr>
        <w:spacing w:line="276" w:lineRule="auto"/>
        <w:jc w:val="both"/>
      </w:pPr>
      <w:r>
        <w:rPr>
          <w:rFonts w:ascii="Times New Roman" w:hAnsi="Times New Roman"/>
          <w:sz w:val="26"/>
        </w:rPr>
        <w:lastRenderedPageBreak/>
        <w:t>đ) Bước 5: Thông báo kết quả:  Bộ phận Một cửa thông báo cho tổ chức, cá nhân nhận giấy phép. Giấy phép đã cấp được giao trực tiếp cho tổ chức, cá nhân đề nghị cấp phép tại cơ quan thụ lý hồ sơ cấp phép hoặc được gửi qua đường bưu điện sau khi chủ giấy phép đã nộp đầy đủ phí, lệ phí theo quy định.</w:t>
      </w:r>
    </w:p>
    <w:p w14:paraId="62A18F23" w14:textId="77777777" w:rsidR="001C27BE" w:rsidRDefault="001C27BE" w:rsidP="001C27BE">
      <w:pPr>
        <w:spacing w:before="240" w:line="276" w:lineRule="auto"/>
        <w:jc w:val="both"/>
      </w:pPr>
      <w:r>
        <w:rPr>
          <w:rFonts w:ascii="Times New Roman" w:hAnsi="Times New Roman"/>
          <w:b/>
          <w:sz w:val="26"/>
        </w:rPr>
        <w:t xml:space="preserve">Cách thức thực hiện: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09"/>
        <w:gridCol w:w="853"/>
        <w:gridCol w:w="1345"/>
        <w:gridCol w:w="6056"/>
      </w:tblGrid>
      <w:tr w:rsidR="001C27BE" w14:paraId="6637D420" w14:textId="77777777" w:rsidTr="00F66D1D">
        <w:tblPrEx>
          <w:tblCellMar>
            <w:top w:w="0" w:type="dxa"/>
            <w:bottom w:w="0" w:type="dxa"/>
          </w:tblCellMar>
        </w:tblPrEx>
        <w:tc>
          <w:tcPr>
            <w:tcW w:w="1500" w:type="dxa"/>
          </w:tcPr>
          <w:p w14:paraId="6AFD1CDC" w14:textId="77777777" w:rsidR="001C27BE" w:rsidRDefault="001C27BE" w:rsidP="00F66D1D"/>
          <w:p w14:paraId="0B491A63" w14:textId="77777777" w:rsidR="001C27BE" w:rsidRDefault="001C27BE" w:rsidP="00F66D1D">
            <w:pPr>
              <w:spacing w:line="276" w:lineRule="auto"/>
            </w:pPr>
            <w:r>
              <w:rPr>
                <w:rFonts w:ascii="Times New Roman" w:hAnsi="Times New Roman"/>
                <w:b/>
                <w:sz w:val="26"/>
              </w:rPr>
              <w:t>Hình thức nộp</w:t>
            </w:r>
          </w:p>
        </w:tc>
        <w:tc>
          <w:tcPr>
            <w:tcW w:w="2000" w:type="dxa"/>
          </w:tcPr>
          <w:p w14:paraId="0E860230" w14:textId="77777777" w:rsidR="001C27BE" w:rsidRDefault="001C27BE" w:rsidP="00F66D1D"/>
          <w:p w14:paraId="460EA415" w14:textId="77777777" w:rsidR="001C27BE" w:rsidRDefault="001C27BE" w:rsidP="00F66D1D">
            <w:pPr>
              <w:spacing w:line="276" w:lineRule="auto"/>
            </w:pPr>
            <w:r>
              <w:rPr>
                <w:rFonts w:ascii="Times New Roman" w:hAnsi="Times New Roman"/>
                <w:b/>
                <w:sz w:val="26"/>
              </w:rPr>
              <w:t>Thời hạn giải quyết</w:t>
            </w:r>
          </w:p>
        </w:tc>
        <w:tc>
          <w:tcPr>
            <w:tcW w:w="3500" w:type="dxa"/>
          </w:tcPr>
          <w:p w14:paraId="3AB99FC2" w14:textId="77777777" w:rsidR="001C27BE" w:rsidRDefault="001C27BE" w:rsidP="00F66D1D"/>
          <w:p w14:paraId="7E329F0D" w14:textId="77777777" w:rsidR="001C27BE" w:rsidRDefault="001C27BE" w:rsidP="00F66D1D">
            <w:pPr>
              <w:spacing w:line="276" w:lineRule="auto"/>
            </w:pPr>
            <w:r>
              <w:rPr>
                <w:rFonts w:ascii="Times New Roman" w:hAnsi="Times New Roman"/>
                <w:b/>
                <w:sz w:val="26"/>
              </w:rPr>
              <w:t>Phí, lệ phí</w:t>
            </w:r>
          </w:p>
        </w:tc>
        <w:tc>
          <w:tcPr>
            <w:tcW w:w="3000" w:type="dxa"/>
          </w:tcPr>
          <w:p w14:paraId="770CC429" w14:textId="77777777" w:rsidR="001C27BE" w:rsidRDefault="001C27BE" w:rsidP="00F66D1D"/>
          <w:p w14:paraId="3FCE3E46" w14:textId="77777777" w:rsidR="001C27BE" w:rsidRDefault="001C27BE" w:rsidP="00F66D1D">
            <w:pPr>
              <w:spacing w:line="276" w:lineRule="auto"/>
            </w:pPr>
            <w:r>
              <w:rPr>
                <w:rFonts w:ascii="Times New Roman" w:hAnsi="Times New Roman"/>
                <w:b/>
                <w:sz w:val="26"/>
              </w:rPr>
              <w:t>Mô tả</w:t>
            </w:r>
          </w:p>
        </w:tc>
      </w:tr>
      <w:tr w:rsidR="001C27BE" w14:paraId="6D044F41" w14:textId="77777777" w:rsidTr="00F66D1D">
        <w:tblPrEx>
          <w:tblCellMar>
            <w:top w:w="0" w:type="dxa"/>
            <w:bottom w:w="0" w:type="dxa"/>
          </w:tblCellMar>
        </w:tblPrEx>
        <w:tc>
          <w:tcPr>
            <w:tcW w:w="0" w:type="auto"/>
          </w:tcPr>
          <w:p w14:paraId="06D1C185" w14:textId="77777777" w:rsidR="001C27BE" w:rsidRDefault="001C27BE" w:rsidP="00F66D1D"/>
          <w:p w14:paraId="37F9C264" w14:textId="77777777" w:rsidR="001C27BE" w:rsidRDefault="001C27BE" w:rsidP="00F66D1D">
            <w:pPr>
              <w:spacing w:line="276" w:lineRule="auto"/>
            </w:pPr>
            <w:r>
              <w:rPr>
                <w:rFonts w:ascii="Times New Roman" w:hAnsi="Times New Roman"/>
                <w:sz w:val="26"/>
              </w:rPr>
              <w:t>Trực tiếp</w:t>
            </w:r>
          </w:p>
        </w:tc>
        <w:tc>
          <w:tcPr>
            <w:tcW w:w="0" w:type="auto"/>
          </w:tcPr>
          <w:p w14:paraId="03A33D37" w14:textId="77777777" w:rsidR="001C27BE" w:rsidRDefault="001C27BE" w:rsidP="00F66D1D"/>
          <w:p w14:paraId="28701404" w14:textId="77777777" w:rsidR="001C27BE" w:rsidRDefault="001C27BE" w:rsidP="00F66D1D">
            <w:pPr>
              <w:spacing w:line="276" w:lineRule="auto"/>
            </w:pPr>
            <w:r>
              <w:rPr>
                <w:rFonts w:ascii="Times New Roman" w:hAnsi="Times New Roman"/>
                <w:sz w:val="26"/>
              </w:rPr>
              <w:t>16 Ngày làm việc</w:t>
            </w:r>
          </w:p>
        </w:tc>
        <w:tc>
          <w:tcPr>
            <w:tcW w:w="0" w:type="auto"/>
          </w:tcPr>
          <w:p w14:paraId="6EBC974C" w14:textId="77777777" w:rsidR="001C27BE" w:rsidRDefault="001C27BE" w:rsidP="00F66D1D"/>
          <w:p w14:paraId="54052124" w14:textId="77777777" w:rsidR="001C27BE" w:rsidRDefault="001C27BE" w:rsidP="00F66D1D">
            <w:pPr>
              <w:spacing w:line="276" w:lineRule="auto"/>
            </w:pPr>
            <w:r>
              <w:rPr>
                <w:rFonts w:ascii="Times New Roman" w:hAnsi="Times New Roman"/>
                <w:sz w:val="26"/>
              </w:rPr>
              <w:t>Phí :   (theo quy định của Ủy ban nhân dân cấp tỉnh.)</w:t>
            </w:r>
          </w:p>
        </w:tc>
        <w:tc>
          <w:tcPr>
            <w:tcW w:w="0" w:type="auto"/>
          </w:tcPr>
          <w:p w14:paraId="63D53685" w14:textId="77777777" w:rsidR="001C27BE" w:rsidRDefault="001C27BE" w:rsidP="00F66D1D"/>
          <w:p w14:paraId="0599815C" w14:textId="77777777" w:rsidR="001C27BE" w:rsidRDefault="001C27BE" w:rsidP="00F66D1D">
            <w:pPr>
              <w:spacing w:line="276" w:lineRule="auto"/>
            </w:pPr>
            <w:r>
              <w:rPr>
                <w:rFonts w:ascii="Times New Roman" w:hAnsi="Times New Roman"/>
                <w:sz w:val="26"/>
              </w:rPr>
              <w:t>- Thời hạn kiểm tra hồ sơ: Trong thời hạn không quá 03 ngày làm việc, kể từ ngày nhận hồ sơ, Cơ quan chuyên môn về lĩnh vực tài nguyên nước thuộc Sở Tài nguyên và Môi trường có trách nhiệm xem xét, kiểm tra tính đầy đủ, hợp lệ của hồ sơ. Trường hợp hồ sơ đề nghị cấp phép chưa đầy đủ, không hợp lệ, cơ quan thụ lý hồ sơ cấp phép trả lại hồ sơ và thông báo bằng văn bản cho tổ chức, cá nhân đề nghị cấp phép để bổ sung, hoàn thiện hồ sơ theo quy định. - Thời hạn thẩm định hồ sơ: Trong thời hạn không quá 10 ngày làm việc, kể từ ngày nhận đủ hồ sơ hợp lệ, Cơ quan chuyên môn về lĩnh vực tài nguyên nước thuộc Sở Tài nguyên và Môi trường có trách nhiệm thẩm định hồ sơ và trình cơ quan có thẩm quyền quyết định cấp phép; trường hợp hồ sơ không đủ điều kiện để cấp phép thì trả lại hồ sơ và thông báo bằng văn bản nêu rõ lý do không cấp giấy phép cho tổ chức, cá nhân đề nghị cấp phép. - Quyết định cấp phép: Trong thời hạn không quá 03 ngày làm việc kể từ ngày nhận được hồ sơ trình cấp phép, Sở Tài nguyên và Môi trường quyết định cấp gia hạn, điều chỉnh nội dung giấy phép hành nghề khoan nước dưới đất quy mô vừa và nhỏ (theo Mẫu số 06, Phụ lục IV ban hành kèm theo Thông tư số 11/2022/TT-BTNMT).  Trường hợp không chấp nhận cấp phép, trong thời hạn không quá 02 ngày làm việc, cơ quan thụ lý hồ sơ phải thông báo bằng văn bản cho tổ chức, cá nhân đề nghị cấp phép, trong đó nêu rõ lý do không cấp phép. - Trả Giấy phép: Giấy phép đã cấp được giao trực tiếp cho tổ chức, cá nhân đề nghị cấp phép tại cơ quan thụ lý hồ sơ cấp phép hoặc được gửi qua đường bưu điện sau khi chủ giấy phép đã nộp đầy đủ phí, lệ phí theo quy định.</w:t>
            </w:r>
          </w:p>
        </w:tc>
      </w:tr>
      <w:tr w:rsidR="001C27BE" w14:paraId="1A155E7A" w14:textId="77777777" w:rsidTr="00F66D1D">
        <w:tblPrEx>
          <w:tblCellMar>
            <w:top w:w="0" w:type="dxa"/>
            <w:bottom w:w="0" w:type="dxa"/>
          </w:tblCellMar>
        </w:tblPrEx>
        <w:tc>
          <w:tcPr>
            <w:tcW w:w="0" w:type="auto"/>
          </w:tcPr>
          <w:p w14:paraId="59617097" w14:textId="77777777" w:rsidR="001C27BE" w:rsidRDefault="001C27BE" w:rsidP="00F66D1D"/>
          <w:p w14:paraId="0A2933FD" w14:textId="77777777" w:rsidR="001C27BE" w:rsidRDefault="001C27BE" w:rsidP="00F66D1D">
            <w:pPr>
              <w:spacing w:line="276" w:lineRule="auto"/>
            </w:pPr>
            <w:r>
              <w:rPr>
                <w:rFonts w:ascii="Times New Roman" w:hAnsi="Times New Roman"/>
                <w:sz w:val="26"/>
              </w:rPr>
              <w:lastRenderedPageBreak/>
              <w:t>Trực tuyến</w:t>
            </w:r>
          </w:p>
        </w:tc>
        <w:tc>
          <w:tcPr>
            <w:tcW w:w="0" w:type="auto"/>
          </w:tcPr>
          <w:p w14:paraId="69BC304C" w14:textId="77777777" w:rsidR="001C27BE" w:rsidRDefault="001C27BE" w:rsidP="00F66D1D"/>
          <w:p w14:paraId="7395C712" w14:textId="77777777" w:rsidR="001C27BE" w:rsidRDefault="001C27BE" w:rsidP="00F66D1D">
            <w:pPr>
              <w:spacing w:line="276" w:lineRule="auto"/>
            </w:pPr>
            <w:r>
              <w:rPr>
                <w:rFonts w:ascii="Times New Roman" w:hAnsi="Times New Roman"/>
                <w:sz w:val="26"/>
              </w:rPr>
              <w:lastRenderedPageBreak/>
              <w:t>16 Ngày làm việc</w:t>
            </w:r>
          </w:p>
        </w:tc>
        <w:tc>
          <w:tcPr>
            <w:tcW w:w="0" w:type="auto"/>
          </w:tcPr>
          <w:p w14:paraId="5402FA38" w14:textId="77777777" w:rsidR="001C27BE" w:rsidRDefault="001C27BE" w:rsidP="00F66D1D"/>
          <w:p w14:paraId="114619C7" w14:textId="77777777" w:rsidR="001C27BE" w:rsidRDefault="001C27BE" w:rsidP="00F66D1D">
            <w:pPr>
              <w:spacing w:line="276" w:lineRule="auto"/>
            </w:pPr>
            <w:r>
              <w:rPr>
                <w:rFonts w:ascii="Times New Roman" w:hAnsi="Times New Roman"/>
                <w:sz w:val="26"/>
              </w:rPr>
              <w:lastRenderedPageBreak/>
              <w:t>Phí :   (theo quy định của Ủy ban nhân dân cấp tỉnh.)</w:t>
            </w:r>
          </w:p>
        </w:tc>
        <w:tc>
          <w:tcPr>
            <w:tcW w:w="0" w:type="auto"/>
          </w:tcPr>
          <w:p w14:paraId="49579C31" w14:textId="77777777" w:rsidR="001C27BE" w:rsidRDefault="001C27BE" w:rsidP="00F66D1D"/>
          <w:p w14:paraId="410FE6C8" w14:textId="77777777" w:rsidR="001C27BE" w:rsidRDefault="001C27BE" w:rsidP="00F66D1D">
            <w:pPr>
              <w:spacing w:line="276" w:lineRule="auto"/>
            </w:pPr>
            <w:r>
              <w:rPr>
                <w:rFonts w:ascii="Times New Roman" w:hAnsi="Times New Roman"/>
                <w:sz w:val="26"/>
              </w:rPr>
              <w:lastRenderedPageBreak/>
              <w:t>- Thời hạn kiểm tra hồ sơ: Trong thời hạn không quá 03 ngày làm việc, kể từ ngày nhận hồ sơ, Cơ quan chuyên môn về lĩnh vực tài nguyên nước thuộc Sở Tài nguyên và Môi trường có trách nhiệm xem xét, kiểm tra tính đầy đủ, hợp lệ của hồ sơ. Trường hợp hồ sơ đề nghị cấp phép chưa đầy đủ, không hợp lệ, cơ quan thụ lý hồ sơ cấp phép trả lại hồ sơ và thông báo bằng văn bản cho tổ chức, cá nhân đề nghị cấp phép để bổ sung, hoàn thiện hồ sơ theo quy định. - Thời hạn thẩm định hồ sơ: Trong thời hạn không quá 10 ngày làm việc, kể từ ngày nhận đủ hồ sơ hợp lệ, Cơ quan chuyên môn về lĩnh vực tài nguyên nước thuộc Sở Tài nguyên và Môi trường có trách nhiệm thẩm định hồ sơ và trình cơ quan có thẩm quyền quyết định cấp phép; trường hợp hồ sơ không đủ điều kiện để cấp phép thì trả lại hồ sơ và thông báo bằng văn bản nêu rõ lý do không cấp giấy phép cho tổ chức, cá nhân đề nghị cấp phép. - Quyết định cấp phép: Trong thời hạn không quá 03 ngày làm việc kể từ ngày nhận được hồ sơ trình cấp phép, Sở Tài nguyên và Môi trường quyết định cấp gia hạn, điều chỉnh nội dung giấy phép hành nghề khoan nước dưới đất quy mô vừa và nhỏ (theo Mẫu số 06, Phụ lục IV ban hành kèm theo Thông tư số 11/2022/TT-BTNMT).  Trường hợp không chấp nhận cấp phép, trong thời hạn không quá 02 ngày làm việc, cơ quan thụ lý hồ sơ phải thông báo bằng văn bản cho tổ chức, cá nhân đề nghị cấp phép, trong đó nêu rõ lý do không cấp phép. - Trả Giấy phép: Giấy phép đã cấp được giao trực tiếp cho tổ chức, cá nhân đề nghị cấp phép tại cơ quan thụ lý hồ sơ cấp phép hoặc được gửi qua đường bưu điện sau khi chủ giấy phép đã nộp đầy đủ phí, lệ phí theo quy định.</w:t>
            </w:r>
          </w:p>
        </w:tc>
      </w:tr>
      <w:tr w:rsidR="001C27BE" w14:paraId="67C68CC1" w14:textId="77777777" w:rsidTr="00F66D1D">
        <w:tblPrEx>
          <w:tblCellMar>
            <w:top w:w="0" w:type="dxa"/>
            <w:bottom w:w="0" w:type="dxa"/>
          </w:tblCellMar>
        </w:tblPrEx>
        <w:tc>
          <w:tcPr>
            <w:tcW w:w="0" w:type="auto"/>
          </w:tcPr>
          <w:p w14:paraId="40D61D4D" w14:textId="77777777" w:rsidR="001C27BE" w:rsidRDefault="001C27BE" w:rsidP="00F66D1D"/>
          <w:p w14:paraId="712EE88A" w14:textId="77777777" w:rsidR="001C27BE" w:rsidRDefault="001C27BE" w:rsidP="00F66D1D">
            <w:pPr>
              <w:spacing w:line="276" w:lineRule="auto"/>
            </w:pPr>
            <w:r>
              <w:rPr>
                <w:rFonts w:ascii="Times New Roman" w:hAnsi="Times New Roman"/>
                <w:sz w:val="26"/>
              </w:rPr>
              <w:t>Dịch vụ bưu chính</w:t>
            </w:r>
          </w:p>
        </w:tc>
        <w:tc>
          <w:tcPr>
            <w:tcW w:w="0" w:type="auto"/>
          </w:tcPr>
          <w:p w14:paraId="2F9BE09B" w14:textId="77777777" w:rsidR="001C27BE" w:rsidRDefault="001C27BE" w:rsidP="00F66D1D"/>
          <w:p w14:paraId="0A04787F" w14:textId="77777777" w:rsidR="001C27BE" w:rsidRDefault="001C27BE" w:rsidP="00F66D1D">
            <w:pPr>
              <w:spacing w:line="276" w:lineRule="auto"/>
            </w:pPr>
            <w:r>
              <w:rPr>
                <w:rFonts w:ascii="Times New Roman" w:hAnsi="Times New Roman"/>
                <w:sz w:val="26"/>
              </w:rPr>
              <w:t>16 Ngày làm việc</w:t>
            </w:r>
          </w:p>
        </w:tc>
        <w:tc>
          <w:tcPr>
            <w:tcW w:w="0" w:type="auto"/>
          </w:tcPr>
          <w:p w14:paraId="688F5FF9" w14:textId="77777777" w:rsidR="001C27BE" w:rsidRDefault="001C27BE" w:rsidP="00F66D1D"/>
          <w:p w14:paraId="5F61CA5E" w14:textId="77777777" w:rsidR="001C27BE" w:rsidRDefault="001C27BE" w:rsidP="00F66D1D">
            <w:pPr>
              <w:spacing w:line="276" w:lineRule="auto"/>
            </w:pPr>
            <w:r>
              <w:rPr>
                <w:rFonts w:ascii="Times New Roman" w:hAnsi="Times New Roman"/>
                <w:sz w:val="26"/>
              </w:rPr>
              <w:t>Phí :   (theo quy định của Ủy ban nhân dân cấp tỉnh.)</w:t>
            </w:r>
          </w:p>
        </w:tc>
        <w:tc>
          <w:tcPr>
            <w:tcW w:w="0" w:type="auto"/>
          </w:tcPr>
          <w:p w14:paraId="459D5C1A" w14:textId="77777777" w:rsidR="001C27BE" w:rsidRDefault="001C27BE" w:rsidP="00F66D1D"/>
          <w:p w14:paraId="40E33720" w14:textId="77777777" w:rsidR="001C27BE" w:rsidRDefault="001C27BE" w:rsidP="00F66D1D">
            <w:pPr>
              <w:spacing w:line="276" w:lineRule="auto"/>
            </w:pPr>
            <w:r>
              <w:rPr>
                <w:rFonts w:ascii="Times New Roman" w:hAnsi="Times New Roman"/>
                <w:sz w:val="26"/>
              </w:rPr>
              <w:t xml:space="preserve">- Thời hạn kiểm tra hồ sơ: Trong thời hạn không quá 03 ngày làm việc, kể từ ngày nhận hồ sơ, Cơ quan chuyên môn về lĩnh vực tài nguyên nước thuộc Sở Tài nguyên và Môi trường có trách nhiệm xem xét, kiểm tra tính đầy đủ, hợp lệ của hồ sơ. Trường hợp hồ sơ đề nghị cấp phép chưa đầy đủ, không hợp lệ, cơ quan thụ lý hồ sơ cấp phép trả lại hồ sơ và thông báo bằng văn bản cho tổ chức, cá nhân đề nghị cấp phép để bổ sung, hoàn thiện hồ sơ theo quy định. - Thời hạn thẩm định hồ sơ: Trong thời hạn không quá 10 ngày làm việc, kể từ ngày nhận đủ hồ sơ hợp lệ, Cơ quan chuyên môn về lĩnh vực tài nguyên nước </w:t>
            </w:r>
            <w:r>
              <w:rPr>
                <w:rFonts w:ascii="Times New Roman" w:hAnsi="Times New Roman"/>
                <w:sz w:val="26"/>
              </w:rPr>
              <w:lastRenderedPageBreak/>
              <w:t>thuộc Sở Tài nguyên và Môi trường có trách nhiệm thẩm định hồ sơ và trình cơ quan có thẩm quyền quyết định cấp phép; trường hợp hồ sơ không đủ điều kiện để cấp phép thì trả lại hồ sơ và thông báo bằng văn bản nêu rõ lý do không cấp giấy phép cho tổ chức, cá nhân đề nghị cấp phép. - Quyết định cấp phép: Trong thời hạn không quá 03 ngày làm việc kể từ ngày nhận được hồ sơ trình cấp phép, Sở Tài nguyên và Môi trường quyết định cấp gia hạn, điều chỉnh nội dung giấy phép hành nghề khoan nước dưới đất quy mô vừa và nhỏ (theo Mẫu số 06, Phụ lục IV ban hành kèm theo Thông tư số 11/2022/TT-BTNMT).  Trường hợp không chấp nhận cấp phép, trong thời hạn không quá 02 ngày làm việc, cơ quan thụ lý hồ sơ phải thông báo bằng văn bản cho tổ chức, cá nhân đề nghị cấp phép, trong đó nêu rõ lý do không cấp phép. - Trả Giấy phép: Giấy phép đã cấp được giao trực tiếp cho tổ chức, cá nhân đề nghị cấp phép tại cơ quan thụ lý hồ sơ cấp phép hoặc được gửi qua đường bưu điện sau khi chủ giấy phép đã nộp đầy đủ phí, lệ phí theo quy định.</w:t>
            </w:r>
          </w:p>
        </w:tc>
      </w:tr>
    </w:tbl>
    <w:p w14:paraId="4712C8EA" w14:textId="77777777" w:rsidR="001C27BE" w:rsidRDefault="001C27BE" w:rsidP="001C27BE">
      <w:pPr>
        <w:spacing w:before="240" w:line="276" w:lineRule="auto"/>
        <w:jc w:val="both"/>
      </w:pPr>
      <w:r>
        <w:rPr>
          <w:rFonts w:ascii="Times New Roman" w:hAnsi="Times New Roman"/>
          <w:b/>
          <w:sz w:val="26"/>
        </w:rPr>
        <w:lastRenderedPageBreak/>
        <w:t xml:space="preserve">Thành phần hồ sơ: </w:t>
      </w:r>
    </w:p>
    <w:p w14:paraId="36B29C10" w14:textId="77777777" w:rsidR="001C27BE" w:rsidRDefault="001C27BE" w:rsidP="001C27BE">
      <w:pPr>
        <w:shd w:val="clear" w:color="auto" w:fill="F2F6F9"/>
        <w:spacing w:before="120" w:line="276" w:lineRule="auto"/>
        <w:jc w:val="both"/>
      </w:pPr>
      <w:r>
        <w:rPr>
          <w:rFonts w:ascii="Times New Roman" w:hAnsi="Times New Roman"/>
          <w:b/>
          <w:sz w:val="26"/>
        </w:rPr>
        <w:t>Bao gồm</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171"/>
        <w:gridCol w:w="967"/>
        <w:gridCol w:w="925"/>
      </w:tblGrid>
      <w:tr w:rsidR="001C27BE" w14:paraId="2FF2259F" w14:textId="77777777" w:rsidTr="00F66D1D">
        <w:tblPrEx>
          <w:tblCellMar>
            <w:top w:w="0" w:type="dxa"/>
            <w:bottom w:w="0" w:type="dxa"/>
          </w:tblCellMar>
        </w:tblPrEx>
        <w:tc>
          <w:tcPr>
            <w:tcW w:w="6000" w:type="dxa"/>
          </w:tcPr>
          <w:p w14:paraId="7D19F098" w14:textId="77777777" w:rsidR="001C27BE" w:rsidRDefault="001C27BE" w:rsidP="00F66D1D"/>
          <w:p w14:paraId="672FEECD" w14:textId="77777777" w:rsidR="001C27BE" w:rsidRDefault="001C27BE" w:rsidP="00F66D1D">
            <w:pPr>
              <w:spacing w:line="276" w:lineRule="auto"/>
            </w:pPr>
            <w:r>
              <w:rPr>
                <w:rFonts w:ascii="Times New Roman" w:hAnsi="Times New Roman"/>
                <w:b/>
                <w:sz w:val="26"/>
              </w:rPr>
              <w:t>Tên giấy tờ</w:t>
            </w:r>
          </w:p>
        </w:tc>
        <w:tc>
          <w:tcPr>
            <w:tcW w:w="2000" w:type="dxa"/>
          </w:tcPr>
          <w:p w14:paraId="34E92AC8" w14:textId="77777777" w:rsidR="001C27BE" w:rsidRDefault="001C27BE" w:rsidP="00F66D1D"/>
          <w:p w14:paraId="701AFB3E" w14:textId="77777777" w:rsidR="001C27BE" w:rsidRDefault="001C27BE" w:rsidP="00F66D1D">
            <w:pPr>
              <w:spacing w:line="276" w:lineRule="auto"/>
            </w:pPr>
            <w:r>
              <w:rPr>
                <w:rFonts w:ascii="Times New Roman" w:hAnsi="Times New Roman"/>
                <w:b/>
                <w:sz w:val="26"/>
              </w:rPr>
              <w:t>Mẫu đơn, tờ khai</w:t>
            </w:r>
          </w:p>
        </w:tc>
        <w:tc>
          <w:tcPr>
            <w:tcW w:w="2000" w:type="dxa"/>
          </w:tcPr>
          <w:p w14:paraId="56256964" w14:textId="77777777" w:rsidR="001C27BE" w:rsidRDefault="001C27BE" w:rsidP="00F66D1D"/>
          <w:p w14:paraId="74490282" w14:textId="77777777" w:rsidR="001C27BE" w:rsidRDefault="001C27BE" w:rsidP="00F66D1D">
            <w:pPr>
              <w:spacing w:line="276" w:lineRule="auto"/>
            </w:pPr>
            <w:r>
              <w:rPr>
                <w:rFonts w:ascii="Times New Roman" w:hAnsi="Times New Roman"/>
                <w:b/>
                <w:sz w:val="26"/>
              </w:rPr>
              <w:t>Số lượng</w:t>
            </w:r>
          </w:p>
        </w:tc>
      </w:tr>
      <w:tr w:rsidR="001C27BE" w14:paraId="7D37435A" w14:textId="77777777" w:rsidTr="00F66D1D">
        <w:tblPrEx>
          <w:tblCellMar>
            <w:top w:w="0" w:type="dxa"/>
            <w:bottom w:w="0" w:type="dxa"/>
          </w:tblCellMar>
        </w:tblPrEx>
        <w:tc>
          <w:tcPr>
            <w:tcW w:w="0" w:type="auto"/>
          </w:tcPr>
          <w:p w14:paraId="779A09EB" w14:textId="77777777" w:rsidR="001C27BE" w:rsidRDefault="001C27BE" w:rsidP="00F66D1D"/>
          <w:p w14:paraId="6B7B6F4F" w14:textId="77777777" w:rsidR="001C27BE" w:rsidRDefault="001C27BE" w:rsidP="00F66D1D">
            <w:pPr>
              <w:spacing w:line="276" w:lineRule="auto"/>
            </w:pPr>
            <w:r>
              <w:rPr>
                <w:rFonts w:ascii="Times New Roman" w:hAnsi="Times New Roman"/>
                <w:sz w:val="26"/>
              </w:rPr>
              <w:t>- Đơn đề nghị gia hạn, điều chỉnh nội dung giấy phép hành nghề khoan dưới đất (Mẫu số 04 Thông tư số 11/2022/TT-BTNMT).</w:t>
            </w:r>
          </w:p>
        </w:tc>
        <w:tc>
          <w:tcPr>
            <w:tcW w:w="0" w:type="auto"/>
          </w:tcPr>
          <w:p w14:paraId="796A1C1D" w14:textId="77777777" w:rsidR="001C27BE" w:rsidRDefault="001C27BE" w:rsidP="00F66D1D"/>
          <w:p w14:paraId="76C56C75" w14:textId="77777777" w:rsidR="001C27BE" w:rsidRDefault="001C27BE" w:rsidP="00F66D1D">
            <w:pPr>
              <w:spacing w:line="276" w:lineRule="auto"/>
            </w:pPr>
            <w:r>
              <w:rPr>
                <w:rFonts w:ascii="Times New Roman" w:hAnsi="Times New Roman"/>
                <w:sz w:val="26"/>
              </w:rPr>
              <w:t xml:space="preserve">Mẫu số </w:t>
            </w:r>
            <w:bookmarkStart w:id="0" w:name="_GoBack"/>
            <w:bookmarkEnd w:id="0"/>
            <w:r>
              <w:rPr>
                <w:rFonts w:ascii="Times New Roman" w:hAnsi="Times New Roman"/>
                <w:sz w:val="26"/>
              </w:rPr>
              <w:t>04.doc</w:t>
            </w:r>
          </w:p>
        </w:tc>
        <w:tc>
          <w:tcPr>
            <w:tcW w:w="0" w:type="auto"/>
          </w:tcPr>
          <w:p w14:paraId="0EDEC250" w14:textId="77777777" w:rsidR="001C27BE" w:rsidRDefault="001C27BE" w:rsidP="00F66D1D"/>
          <w:p w14:paraId="12D129A4" w14:textId="77777777" w:rsidR="001C27BE" w:rsidRDefault="001C27BE" w:rsidP="00F66D1D">
            <w:pPr>
              <w:spacing w:line="276" w:lineRule="auto"/>
            </w:pPr>
            <w:r>
              <w:rPr>
                <w:rFonts w:ascii="Times New Roman" w:hAnsi="Times New Roman"/>
                <w:sz w:val="26"/>
              </w:rPr>
              <w:t>Bản chính: 1</w:t>
            </w:r>
            <w:r>
              <w:rPr>
                <w:rFonts w:ascii="Times New Roman" w:hAnsi="Times New Roman"/>
                <w:sz w:val="26"/>
              </w:rPr>
              <w:br/>
              <w:t>Bản sao: 0</w:t>
            </w:r>
          </w:p>
        </w:tc>
      </w:tr>
      <w:tr w:rsidR="001C27BE" w14:paraId="6380728B" w14:textId="77777777" w:rsidTr="00F66D1D">
        <w:tblPrEx>
          <w:tblCellMar>
            <w:top w:w="0" w:type="dxa"/>
            <w:bottom w:w="0" w:type="dxa"/>
          </w:tblCellMar>
        </w:tblPrEx>
        <w:tc>
          <w:tcPr>
            <w:tcW w:w="0" w:type="auto"/>
          </w:tcPr>
          <w:p w14:paraId="4C1FDE89" w14:textId="77777777" w:rsidR="001C27BE" w:rsidRDefault="001C27BE" w:rsidP="00F66D1D"/>
          <w:p w14:paraId="7DA91DEF" w14:textId="77777777" w:rsidR="001C27BE" w:rsidRDefault="001C27BE" w:rsidP="00F66D1D">
            <w:pPr>
              <w:spacing w:line="276" w:lineRule="auto"/>
            </w:pPr>
            <w:r>
              <w:rPr>
                <w:rFonts w:ascii="Times New Roman" w:hAnsi="Times New Roman"/>
                <w:sz w:val="26"/>
              </w:rPr>
              <w:t>- Bảng tổng hợp các công trình khoan nước dưới đất do tổ chức, cá nhân thực hiện trong thời gian sử dụng giấy phép đã được cấp (theo Mẫu số 05 ban hành kèm theo Thông tư số 40/2014/TT-BTNMT)</w:t>
            </w:r>
          </w:p>
        </w:tc>
        <w:tc>
          <w:tcPr>
            <w:tcW w:w="0" w:type="auto"/>
          </w:tcPr>
          <w:p w14:paraId="5BEE56CE" w14:textId="77777777" w:rsidR="001C27BE" w:rsidRDefault="001C27BE" w:rsidP="00F66D1D"/>
          <w:p w14:paraId="6184F5C6" w14:textId="77777777" w:rsidR="001C27BE" w:rsidRDefault="001C27BE" w:rsidP="00F66D1D">
            <w:pPr>
              <w:spacing w:line="276" w:lineRule="auto"/>
            </w:pPr>
            <w:r>
              <w:rPr>
                <w:rFonts w:ascii="Times New Roman" w:hAnsi="Times New Roman"/>
                <w:sz w:val="26"/>
              </w:rPr>
              <w:t>Mẫu số 05.doc</w:t>
            </w:r>
          </w:p>
        </w:tc>
        <w:tc>
          <w:tcPr>
            <w:tcW w:w="0" w:type="auto"/>
          </w:tcPr>
          <w:p w14:paraId="44D59E12" w14:textId="77777777" w:rsidR="001C27BE" w:rsidRDefault="001C27BE" w:rsidP="00F66D1D"/>
          <w:p w14:paraId="521DFD04" w14:textId="77777777" w:rsidR="001C27BE" w:rsidRDefault="001C27BE" w:rsidP="00F66D1D">
            <w:pPr>
              <w:spacing w:line="276" w:lineRule="auto"/>
            </w:pPr>
            <w:r>
              <w:rPr>
                <w:rFonts w:ascii="Times New Roman" w:hAnsi="Times New Roman"/>
                <w:sz w:val="26"/>
              </w:rPr>
              <w:t>Bản chính: 1</w:t>
            </w:r>
            <w:r>
              <w:rPr>
                <w:rFonts w:ascii="Times New Roman" w:hAnsi="Times New Roman"/>
                <w:sz w:val="26"/>
              </w:rPr>
              <w:br/>
              <w:t>Bản sao: 0</w:t>
            </w:r>
          </w:p>
        </w:tc>
      </w:tr>
      <w:tr w:rsidR="001C27BE" w14:paraId="4F353CD0" w14:textId="77777777" w:rsidTr="00F66D1D">
        <w:tblPrEx>
          <w:tblCellMar>
            <w:top w:w="0" w:type="dxa"/>
            <w:bottom w:w="0" w:type="dxa"/>
          </w:tblCellMar>
        </w:tblPrEx>
        <w:tc>
          <w:tcPr>
            <w:tcW w:w="0" w:type="auto"/>
          </w:tcPr>
          <w:p w14:paraId="51B73482" w14:textId="77777777" w:rsidR="001C27BE" w:rsidRDefault="001C27BE" w:rsidP="00F66D1D"/>
          <w:p w14:paraId="7C663C49" w14:textId="77777777" w:rsidR="001C27BE" w:rsidRDefault="001C27BE" w:rsidP="00F66D1D">
            <w:pPr>
              <w:spacing w:line="276" w:lineRule="auto"/>
            </w:pPr>
            <w:r>
              <w:rPr>
                <w:rFonts w:ascii="Times New Roman" w:hAnsi="Times New Roman"/>
                <w:sz w:val="26"/>
              </w:rPr>
              <w:t xml:space="preserve">- Đối với trường hợp đề nghị gia hạn giấy phép mà có sự thay đổi người chịu trách nhiệm chính về kỹ thuật thì ngoài Đơn và Bảng tổng hợp các công trình khoan nước dưới đất, hồ sơ đề nghị gia hạn giấy phép còn bao gồm: Bản sao có chứng thực hoặc bản sao chụp có xác nhận của cơ quan cấp văn bằng, chứng chỉ của người chịu trách nhiệm chính về kỹ thuật theo quy định của pháp luật và hợp </w:t>
            </w:r>
            <w:r>
              <w:rPr>
                <w:rFonts w:ascii="Times New Roman" w:hAnsi="Times New Roman"/>
                <w:sz w:val="26"/>
              </w:rPr>
              <w:lastRenderedPageBreak/>
              <w:t>đồng lao động đối với trường hợp tổ chức, cá nhân đề nghị cấp phép hợp đồng lao động với người chịu trách nhiệm chính về kỹ thuật; trường hợp chỉ có bản sao chụp thì phải kèm bản chính để đối chiếu. Bản khai kinh nghiệm chuyên môn trong hoạt động khoan nước dưới đất của người chịu trách nhiệm chính về kỹ thuật (theo Mẫu số 02 Phụ lục IV ban hành kèm theo Thông tư số 11/2022/TT-BTNMT)</w:t>
            </w:r>
          </w:p>
        </w:tc>
        <w:tc>
          <w:tcPr>
            <w:tcW w:w="0" w:type="auto"/>
          </w:tcPr>
          <w:p w14:paraId="7923AD49" w14:textId="77777777" w:rsidR="001C27BE" w:rsidRDefault="001C27BE" w:rsidP="00F66D1D"/>
          <w:p w14:paraId="68BBB198" w14:textId="77777777" w:rsidR="001C27BE" w:rsidRDefault="001C27BE" w:rsidP="00F66D1D">
            <w:pPr>
              <w:spacing w:line="276" w:lineRule="auto"/>
            </w:pPr>
            <w:r>
              <w:rPr>
                <w:rFonts w:ascii="Times New Roman" w:hAnsi="Times New Roman"/>
                <w:sz w:val="26"/>
              </w:rPr>
              <w:t>Mẫu số 02.doc</w:t>
            </w:r>
          </w:p>
        </w:tc>
        <w:tc>
          <w:tcPr>
            <w:tcW w:w="0" w:type="auto"/>
          </w:tcPr>
          <w:p w14:paraId="0398F99A" w14:textId="77777777" w:rsidR="001C27BE" w:rsidRDefault="001C27BE" w:rsidP="00F66D1D"/>
          <w:p w14:paraId="1EAC3335" w14:textId="77777777" w:rsidR="001C27BE" w:rsidRDefault="001C27BE" w:rsidP="00F66D1D">
            <w:pPr>
              <w:spacing w:line="276" w:lineRule="auto"/>
            </w:pPr>
            <w:r>
              <w:rPr>
                <w:rFonts w:ascii="Times New Roman" w:hAnsi="Times New Roman"/>
                <w:sz w:val="26"/>
              </w:rPr>
              <w:t>Bản chính: 1</w:t>
            </w:r>
            <w:r>
              <w:rPr>
                <w:rFonts w:ascii="Times New Roman" w:hAnsi="Times New Roman"/>
                <w:sz w:val="26"/>
              </w:rPr>
              <w:br/>
              <w:t>Bản sao: 0</w:t>
            </w:r>
          </w:p>
        </w:tc>
      </w:tr>
      <w:tr w:rsidR="001C27BE" w14:paraId="762E60DF" w14:textId="77777777" w:rsidTr="00F66D1D">
        <w:tblPrEx>
          <w:tblCellMar>
            <w:top w:w="0" w:type="dxa"/>
            <w:bottom w:w="0" w:type="dxa"/>
          </w:tblCellMar>
        </w:tblPrEx>
        <w:tc>
          <w:tcPr>
            <w:tcW w:w="0" w:type="auto"/>
          </w:tcPr>
          <w:p w14:paraId="486AD91E" w14:textId="77777777" w:rsidR="001C27BE" w:rsidRDefault="001C27BE" w:rsidP="00F66D1D"/>
          <w:p w14:paraId="461840C5" w14:textId="77777777" w:rsidR="001C27BE" w:rsidRDefault="001C27BE" w:rsidP="00F66D1D">
            <w:pPr>
              <w:spacing w:line="276" w:lineRule="auto"/>
            </w:pPr>
            <w:r>
              <w:rPr>
                <w:rFonts w:ascii="Times New Roman" w:hAnsi="Times New Roman"/>
                <w:sz w:val="26"/>
              </w:rPr>
              <w:t>- Đối với trường hợp đề nghị điều chỉnh nội dung giấy phép, ngoài đơn và bảng tổng hợp công trình, hồ sơ đề nghị điều chỉnh nội dung giấy phép còn bao gồm các tài liệu chứng minh điều kiện năng lực đáp ứng quy mô hành nghề theo quy định (đối với trường hợp đề nghị điều chỉnh quy mô hành nghề).</w:t>
            </w:r>
          </w:p>
        </w:tc>
        <w:tc>
          <w:tcPr>
            <w:tcW w:w="0" w:type="auto"/>
          </w:tcPr>
          <w:p w14:paraId="2B799C7C" w14:textId="77777777" w:rsidR="001C27BE" w:rsidRDefault="001C27BE" w:rsidP="00F66D1D"/>
        </w:tc>
        <w:tc>
          <w:tcPr>
            <w:tcW w:w="0" w:type="auto"/>
          </w:tcPr>
          <w:p w14:paraId="73750F7E" w14:textId="77777777" w:rsidR="001C27BE" w:rsidRDefault="001C27BE" w:rsidP="00F66D1D"/>
          <w:p w14:paraId="6CE05BCB" w14:textId="77777777" w:rsidR="001C27BE" w:rsidRDefault="001C27BE" w:rsidP="00F66D1D">
            <w:pPr>
              <w:spacing w:line="276" w:lineRule="auto"/>
            </w:pPr>
            <w:r>
              <w:rPr>
                <w:rFonts w:ascii="Times New Roman" w:hAnsi="Times New Roman"/>
                <w:sz w:val="26"/>
              </w:rPr>
              <w:t>Bản chính: 1</w:t>
            </w:r>
            <w:r>
              <w:rPr>
                <w:rFonts w:ascii="Times New Roman" w:hAnsi="Times New Roman"/>
                <w:sz w:val="26"/>
              </w:rPr>
              <w:br/>
              <w:t>Bản sao: 0</w:t>
            </w:r>
          </w:p>
        </w:tc>
      </w:tr>
    </w:tbl>
    <w:p w14:paraId="6C473B07" w14:textId="77777777" w:rsidR="001C27BE" w:rsidRDefault="001C27BE" w:rsidP="001C27BE">
      <w:pPr>
        <w:spacing w:before="240" w:line="276" w:lineRule="auto"/>
        <w:jc w:val="both"/>
      </w:pPr>
      <w:r>
        <w:rPr>
          <w:rFonts w:ascii="Times New Roman" w:hAnsi="Times New Roman"/>
          <w:b/>
          <w:sz w:val="26"/>
        </w:rPr>
        <w:t xml:space="preserve">Đối tượng thực hiện: </w:t>
      </w:r>
      <w:r>
        <w:rPr>
          <w:rFonts w:ascii="Times New Roman" w:hAnsi="Times New Roman"/>
          <w:sz w:val="26"/>
        </w:rPr>
        <w:t>Công dân Việt Nam, Người nước ngoài, Doanh nghiệp, Doanh nghiệp có vốn đầu tư nước ngoài, Tổ chức (không bao gồm doanh nghiệp, HTX), Hợp tác xã</w:t>
      </w:r>
    </w:p>
    <w:p w14:paraId="03B06AAA" w14:textId="77777777" w:rsidR="001C27BE" w:rsidRDefault="001C27BE" w:rsidP="001C27BE">
      <w:pPr>
        <w:spacing w:line="276" w:lineRule="auto"/>
        <w:jc w:val="both"/>
      </w:pPr>
      <w:r>
        <w:rPr>
          <w:rFonts w:ascii="Times New Roman" w:hAnsi="Times New Roman"/>
          <w:b/>
          <w:sz w:val="26"/>
        </w:rPr>
        <w:t xml:space="preserve">Cơ quan thực hiện: </w:t>
      </w:r>
      <w:r>
        <w:rPr>
          <w:rFonts w:ascii="Times New Roman" w:hAnsi="Times New Roman"/>
          <w:sz w:val="26"/>
        </w:rPr>
        <w:t>Sở Tài nguyên và Môi trường</w:t>
      </w:r>
    </w:p>
    <w:p w14:paraId="21F8BD9F" w14:textId="77777777" w:rsidR="001C27BE" w:rsidRDefault="001C27BE" w:rsidP="001C27BE">
      <w:pPr>
        <w:spacing w:line="276" w:lineRule="auto"/>
        <w:jc w:val="both"/>
      </w:pPr>
      <w:r>
        <w:rPr>
          <w:rFonts w:ascii="Times New Roman" w:hAnsi="Times New Roman"/>
          <w:b/>
          <w:sz w:val="26"/>
        </w:rPr>
        <w:t xml:space="preserve">Cơ quan có thẩm quyền: </w:t>
      </w:r>
      <w:r>
        <w:rPr>
          <w:rFonts w:ascii="Times New Roman" w:hAnsi="Times New Roman"/>
          <w:sz w:val="26"/>
        </w:rPr>
        <w:t>Sở Tài nguyên và Môi trường</w:t>
      </w:r>
    </w:p>
    <w:p w14:paraId="5E8F49A3" w14:textId="77777777" w:rsidR="001C27BE" w:rsidRDefault="001C27BE" w:rsidP="001C27BE">
      <w:pPr>
        <w:spacing w:line="276" w:lineRule="auto"/>
        <w:jc w:val="both"/>
      </w:pPr>
      <w:r>
        <w:rPr>
          <w:rFonts w:ascii="Times New Roman" w:hAnsi="Times New Roman"/>
          <w:b/>
          <w:sz w:val="26"/>
        </w:rPr>
        <w:t xml:space="preserve">Địa chỉ tiếp nhận HS: </w:t>
      </w:r>
      <w:r>
        <w:rPr>
          <w:rFonts w:ascii="Times New Roman" w:hAnsi="Times New Roman"/>
          <w:sz w:val="26"/>
        </w:rPr>
        <w:t>Không có thông tin</w:t>
      </w:r>
    </w:p>
    <w:p w14:paraId="3A08D9FE" w14:textId="77777777" w:rsidR="001C27BE" w:rsidRDefault="001C27BE" w:rsidP="001C27BE">
      <w:pPr>
        <w:spacing w:line="276" w:lineRule="auto"/>
        <w:jc w:val="both"/>
      </w:pPr>
      <w:r>
        <w:rPr>
          <w:rFonts w:ascii="Times New Roman" w:hAnsi="Times New Roman"/>
          <w:b/>
          <w:sz w:val="26"/>
        </w:rPr>
        <w:t xml:space="preserve">Cơ quan được ủy quyền: </w:t>
      </w:r>
      <w:r>
        <w:rPr>
          <w:rFonts w:ascii="Times New Roman" w:hAnsi="Times New Roman"/>
          <w:sz w:val="26"/>
        </w:rPr>
        <w:t>Không có thông tin</w:t>
      </w:r>
    </w:p>
    <w:p w14:paraId="009FAEB5" w14:textId="77777777" w:rsidR="001C27BE" w:rsidRDefault="001C27BE" w:rsidP="001C27BE">
      <w:pPr>
        <w:spacing w:line="276" w:lineRule="auto"/>
        <w:jc w:val="both"/>
      </w:pPr>
      <w:r>
        <w:rPr>
          <w:rFonts w:ascii="Times New Roman" w:hAnsi="Times New Roman"/>
          <w:b/>
          <w:sz w:val="26"/>
        </w:rPr>
        <w:t xml:space="preserve">Cơ quan phối hợp: </w:t>
      </w:r>
      <w:r>
        <w:rPr>
          <w:rFonts w:ascii="Times New Roman" w:hAnsi="Times New Roman"/>
          <w:sz w:val="26"/>
        </w:rPr>
        <w:t>Không có thông tin</w:t>
      </w:r>
    </w:p>
    <w:p w14:paraId="08FE0988" w14:textId="77777777" w:rsidR="001C27BE" w:rsidRDefault="001C27BE" w:rsidP="001C27BE">
      <w:pPr>
        <w:spacing w:line="276" w:lineRule="auto"/>
        <w:jc w:val="both"/>
      </w:pPr>
      <w:r>
        <w:rPr>
          <w:rFonts w:ascii="Times New Roman" w:hAnsi="Times New Roman"/>
          <w:b/>
          <w:sz w:val="26"/>
        </w:rPr>
        <w:t xml:space="preserve">Kết quả thực hiện: </w:t>
      </w:r>
      <w:r>
        <w:rPr>
          <w:rFonts w:ascii="Times New Roman" w:hAnsi="Times New Roman"/>
          <w:sz w:val="26"/>
        </w:rPr>
        <w:t>Kết quả thủ tục cấp gia hạn, điều chỉnh nội dung Giấy phép hành nghề khoan nước dưới đất quy mô vừa và nhỏ theo Mẫu số 06, Phụ lục IV ban hành kèm theo Thông tư số 11/2022/TT-BTNMT.</w:t>
      </w:r>
    </w:p>
    <w:p w14:paraId="14C06D98" w14:textId="77777777" w:rsidR="001C27BE" w:rsidRDefault="001C27BE" w:rsidP="001C27BE">
      <w:pPr>
        <w:spacing w:line="276" w:lineRule="auto"/>
        <w:jc w:val="both"/>
      </w:pPr>
      <w:r>
        <w:rPr>
          <w:rFonts w:ascii="Times New Roman" w:hAnsi="Times New Roman"/>
          <w:b/>
          <w:sz w:val="26"/>
        </w:rPr>
        <w:t xml:space="preserve">Căn cứ pháp lý: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2042"/>
        <w:gridCol w:w="3614"/>
        <w:gridCol w:w="1159"/>
        <w:gridCol w:w="2248"/>
      </w:tblGrid>
      <w:tr w:rsidR="001C27BE" w14:paraId="3454647B" w14:textId="77777777" w:rsidTr="00F66D1D">
        <w:tblPrEx>
          <w:tblCellMar>
            <w:top w:w="0" w:type="dxa"/>
            <w:bottom w:w="0" w:type="dxa"/>
          </w:tblCellMar>
        </w:tblPrEx>
        <w:tc>
          <w:tcPr>
            <w:tcW w:w="2000" w:type="dxa"/>
          </w:tcPr>
          <w:p w14:paraId="35390E43" w14:textId="77777777" w:rsidR="001C27BE" w:rsidRDefault="001C27BE" w:rsidP="00F66D1D"/>
          <w:p w14:paraId="68E4FEB6" w14:textId="77777777" w:rsidR="001C27BE" w:rsidRDefault="001C27BE" w:rsidP="00F66D1D">
            <w:pPr>
              <w:spacing w:line="276" w:lineRule="auto"/>
            </w:pPr>
            <w:r>
              <w:rPr>
                <w:rFonts w:ascii="Times New Roman" w:hAnsi="Times New Roman"/>
                <w:b/>
                <w:sz w:val="26"/>
              </w:rPr>
              <w:t>Số ký hiệu</w:t>
            </w:r>
          </w:p>
        </w:tc>
        <w:tc>
          <w:tcPr>
            <w:tcW w:w="3500" w:type="dxa"/>
          </w:tcPr>
          <w:p w14:paraId="340C708F" w14:textId="77777777" w:rsidR="001C27BE" w:rsidRDefault="001C27BE" w:rsidP="00F66D1D"/>
          <w:p w14:paraId="5C46F76A" w14:textId="77777777" w:rsidR="001C27BE" w:rsidRDefault="001C27BE" w:rsidP="00F66D1D">
            <w:pPr>
              <w:spacing w:line="276" w:lineRule="auto"/>
            </w:pPr>
            <w:r>
              <w:rPr>
                <w:rFonts w:ascii="Times New Roman" w:hAnsi="Times New Roman"/>
                <w:b/>
                <w:sz w:val="26"/>
              </w:rPr>
              <w:t>Trích yếu</w:t>
            </w:r>
          </w:p>
        </w:tc>
        <w:tc>
          <w:tcPr>
            <w:tcW w:w="1500" w:type="dxa"/>
          </w:tcPr>
          <w:p w14:paraId="298E72B4" w14:textId="77777777" w:rsidR="001C27BE" w:rsidRDefault="001C27BE" w:rsidP="00F66D1D"/>
          <w:p w14:paraId="58D32B05" w14:textId="77777777" w:rsidR="001C27BE" w:rsidRDefault="001C27BE" w:rsidP="00F66D1D">
            <w:pPr>
              <w:spacing w:line="276" w:lineRule="auto"/>
            </w:pPr>
            <w:r>
              <w:rPr>
                <w:rFonts w:ascii="Times New Roman" w:hAnsi="Times New Roman"/>
                <w:b/>
                <w:sz w:val="26"/>
              </w:rPr>
              <w:t>Ngày ban hành</w:t>
            </w:r>
          </w:p>
        </w:tc>
        <w:tc>
          <w:tcPr>
            <w:tcW w:w="3000" w:type="dxa"/>
          </w:tcPr>
          <w:p w14:paraId="38265188" w14:textId="77777777" w:rsidR="001C27BE" w:rsidRDefault="001C27BE" w:rsidP="00F66D1D"/>
          <w:p w14:paraId="3112ABC5" w14:textId="77777777" w:rsidR="001C27BE" w:rsidRDefault="001C27BE" w:rsidP="00F66D1D">
            <w:pPr>
              <w:spacing w:line="276" w:lineRule="auto"/>
            </w:pPr>
            <w:r>
              <w:rPr>
                <w:rFonts w:ascii="Times New Roman" w:hAnsi="Times New Roman"/>
                <w:b/>
                <w:sz w:val="26"/>
              </w:rPr>
              <w:t>Cơ quan ban hành</w:t>
            </w:r>
          </w:p>
        </w:tc>
      </w:tr>
      <w:tr w:rsidR="001C27BE" w14:paraId="5A744855" w14:textId="77777777" w:rsidTr="00F66D1D">
        <w:tblPrEx>
          <w:tblCellMar>
            <w:top w:w="0" w:type="dxa"/>
            <w:bottom w:w="0" w:type="dxa"/>
          </w:tblCellMar>
        </w:tblPrEx>
        <w:tc>
          <w:tcPr>
            <w:tcW w:w="0" w:type="auto"/>
          </w:tcPr>
          <w:p w14:paraId="249F9A34" w14:textId="77777777" w:rsidR="001C27BE" w:rsidRDefault="001C27BE" w:rsidP="00F66D1D"/>
          <w:p w14:paraId="19EB765D" w14:textId="77777777" w:rsidR="001C27BE" w:rsidRDefault="001C27BE" w:rsidP="00F66D1D">
            <w:pPr>
              <w:spacing w:line="276" w:lineRule="auto"/>
            </w:pPr>
            <w:r>
              <w:rPr>
                <w:rFonts w:ascii="Times New Roman" w:hAnsi="Times New Roman"/>
                <w:sz w:val="26"/>
              </w:rPr>
              <w:t>60/2016/NĐ-CP</w:t>
            </w:r>
          </w:p>
        </w:tc>
        <w:tc>
          <w:tcPr>
            <w:tcW w:w="0" w:type="auto"/>
          </w:tcPr>
          <w:p w14:paraId="79288D79" w14:textId="77777777" w:rsidR="001C27BE" w:rsidRDefault="001C27BE" w:rsidP="00F66D1D"/>
          <w:p w14:paraId="23C843EF" w14:textId="77777777" w:rsidR="001C27BE" w:rsidRDefault="001C27BE" w:rsidP="00F66D1D">
            <w:pPr>
              <w:spacing w:line="276" w:lineRule="auto"/>
            </w:pPr>
            <w:r>
              <w:rPr>
                <w:rFonts w:ascii="Times New Roman" w:hAnsi="Times New Roman"/>
                <w:sz w:val="26"/>
              </w:rPr>
              <w:t>Nghị định 60/2016/NĐ-CP</w:t>
            </w:r>
          </w:p>
        </w:tc>
        <w:tc>
          <w:tcPr>
            <w:tcW w:w="0" w:type="auto"/>
          </w:tcPr>
          <w:p w14:paraId="54E2EDBB" w14:textId="77777777" w:rsidR="001C27BE" w:rsidRDefault="001C27BE" w:rsidP="00F66D1D"/>
          <w:p w14:paraId="20C70AD5" w14:textId="77777777" w:rsidR="001C27BE" w:rsidRDefault="001C27BE" w:rsidP="00F66D1D">
            <w:pPr>
              <w:spacing w:line="276" w:lineRule="auto"/>
            </w:pPr>
            <w:r>
              <w:rPr>
                <w:rFonts w:ascii="Times New Roman" w:hAnsi="Times New Roman"/>
                <w:sz w:val="26"/>
              </w:rPr>
              <w:t>01-07-2016</w:t>
            </w:r>
          </w:p>
        </w:tc>
        <w:tc>
          <w:tcPr>
            <w:tcW w:w="0" w:type="auto"/>
          </w:tcPr>
          <w:p w14:paraId="0EF75670" w14:textId="77777777" w:rsidR="001C27BE" w:rsidRDefault="001C27BE" w:rsidP="00F66D1D"/>
          <w:p w14:paraId="41BBBDFC" w14:textId="77777777" w:rsidR="001C27BE" w:rsidRDefault="001C27BE" w:rsidP="00F66D1D">
            <w:pPr>
              <w:spacing w:line="276" w:lineRule="auto"/>
            </w:pPr>
            <w:r>
              <w:rPr>
                <w:rFonts w:ascii="Times New Roman" w:hAnsi="Times New Roman"/>
                <w:sz w:val="26"/>
              </w:rPr>
              <w:t>Chính phủ</w:t>
            </w:r>
          </w:p>
        </w:tc>
      </w:tr>
      <w:tr w:rsidR="001C27BE" w14:paraId="6926F69D" w14:textId="77777777" w:rsidTr="00F66D1D">
        <w:tblPrEx>
          <w:tblCellMar>
            <w:top w:w="0" w:type="dxa"/>
            <w:bottom w:w="0" w:type="dxa"/>
          </w:tblCellMar>
        </w:tblPrEx>
        <w:tc>
          <w:tcPr>
            <w:tcW w:w="0" w:type="auto"/>
          </w:tcPr>
          <w:p w14:paraId="3A07D246" w14:textId="77777777" w:rsidR="001C27BE" w:rsidRDefault="001C27BE" w:rsidP="00F66D1D"/>
          <w:p w14:paraId="591AA8C3" w14:textId="77777777" w:rsidR="001C27BE" w:rsidRDefault="001C27BE" w:rsidP="00F66D1D">
            <w:pPr>
              <w:spacing w:line="276" w:lineRule="auto"/>
            </w:pPr>
            <w:r>
              <w:rPr>
                <w:rFonts w:ascii="Times New Roman" w:hAnsi="Times New Roman"/>
                <w:sz w:val="26"/>
              </w:rPr>
              <w:t>17/2012/QH13</w:t>
            </w:r>
          </w:p>
        </w:tc>
        <w:tc>
          <w:tcPr>
            <w:tcW w:w="0" w:type="auto"/>
          </w:tcPr>
          <w:p w14:paraId="6EC918CE" w14:textId="77777777" w:rsidR="001C27BE" w:rsidRDefault="001C27BE" w:rsidP="00F66D1D"/>
          <w:p w14:paraId="33C97A1E" w14:textId="77777777" w:rsidR="001C27BE" w:rsidRDefault="001C27BE" w:rsidP="00F66D1D">
            <w:pPr>
              <w:spacing w:line="276" w:lineRule="auto"/>
            </w:pPr>
            <w:r>
              <w:rPr>
                <w:rFonts w:ascii="Times New Roman" w:hAnsi="Times New Roman"/>
                <w:sz w:val="26"/>
              </w:rPr>
              <w:t>Luật 17/2012/QH13</w:t>
            </w:r>
          </w:p>
        </w:tc>
        <w:tc>
          <w:tcPr>
            <w:tcW w:w="0" w:type="auto"/>
          </w:tcPr>
          <w:p w14:paraId="535E9E4C" w14:textId="77777777" w:rsidR="001C27BE" w:rsidRDefault="001C27BE" w:rsidP="00F66D1D"/>
          <w:p w14:paraId="6FEBBBCC" w14:textId="77777777" w:rsidR="001C27BE" w:rsidRDefault="001C27BE" w:rsidP="00F66D1D">
            <w:pPr>
              <w:spacing w:line="276" w:lineRule="auto"/>
            </w:pPr>
            <w:r>
              <w:rPr>
                <w:rFonts w:ascii="Times New Roman" w:hAnsi="Times New Roman"/>
                <w:sz w:val="26"/>
              </w:rPr>
              <w:t>21-06-2012</w:t>
            </w:r>
          </w:p>
        </w:tc>
        <w:tc>
          <w:tcPr>
            <w:tcW w:w="0" w:type="auto"/>
          </w:tcPr>
          <w:p w14:paraId="41907A6B" w14:textId="77777777" w:rsidR="001C27BE" w:rsidRDefault="001C27BE" w:rsidP="00F66D1D"/>
          <w:p w14:paraId="5EB537B5" w14:textId="77777777" w:rsidR="001C27BE" w:rsidRDefault="001C27BE" w:rsidP="00F66D1D">
            <w:pPr>
              <w:spacing w:line="276" w:lineRule="auto"/>
            </w:pPr>
            <w:r>
              <w:rPr>
                <w:rFonts w:ascii="Times New Roman" w:hAnsi="Times New Roman"/>
                <w:sz w:val="26"/>
              </w:rPr>
              <w:t>Quốc Hội</w:t>
            </w:r>
          </w:p>
        </w:tc>
      </w:tr>
      <w:tr w:rsidR="001C27BE" w14:paraId="3F60E3EF" w14:textId="77777777" w:rsidTr="00F66D1D">
        <w:tblPrEx>
          <w:tblCellMar>
            <w:top w:w="0" w:type="dxa"/>
            <w:bottom w:w="0" w:type="dxa"/>
          </w:tblCellMar>
        </w:tblPrEx>
        <w:tc>
          <w:tcPr>
            <w:tcW w:w="0" w:type="auto"/>
          </w:tcPr>
          <w:p w14:paraId="16CFD967" w14:textId="77777777" w:rsidR="001C27BE" w:rsidRDefault="001C27BE" w:rsidP="00F66D1D"/>
          <w:p w14:paraId="3ED3FB44" w14:textId="77777777" w:rsidR="001C27BE" w:rsidRDefault="001C27BE" w:rsidP="00F66D1D">
            <w:pPr>
              <w:spacing w:line="276" w:lineRule="auto"/>
            </w:pPr>
            <w:r>
              <w:rPr>
                <w:rFonts w:ascii="Times New Roman" w:hAnsi="Times New Roman"/>
                <w:sz w:val="26"/>
              </w:rPr>
              <w:t>136/2018/NĐ-CP</w:t>
            </w:r>
          </w:p>
        </w:tc>
        <w:tc>
          <w:tcPr>
            <w:tcW w:w="0" w:type="auto"/>
          </w:tcPr>
          <w:p w14:paraId="655B380B" w14:textId="77777777" w:rsidR="001C27BE" w:rsidRDefault="001C27BE" w:rsidP="00F66D1D"/>
          <w:p w14:paraId="7781DDC0" w14:textId="77777777" w:rsidR="001C27BE" w:rsidRDefault="001C27BE" w:rsidP="00F66D1D">
            <w:pPr>
              <w:spacing w:line="276" w:lineRule="auto"/>
            </w:pPr>
            <w:r>
              <w:rPr>
                <w:rFonts w:ascii="Times New Roman" w:hAnsi="Times New Roman"/>
                <w:sz w:val="26"/>
              </w:rPr>
              <w:t>Nghị định 136/2018/NĐ-CP</w:t>
            </w:r>
          </w:p>
        </w:tc>
        <w:tc>
          <w:tcPr>
            <w:tcW w:w="0" w:type="auto"/>
          </w:tcPr>
          <w:p w14:paraId="4C251432" w14:textId="77777777" w:rsidR="001C27BE" w:rsidRDefault="001C27BE" w:rsidP="00F66D1D"/>
          <w:p w14:paraId="4584AF56" w14:textId="77777777" w:rsidR="001C27BE" w:rsidRDefault="001C27BE" w:rsidP="00F66D1D">
            <w:pPr>
              <w:spacing w:line="276" w:lineRule="auto"/>
            </w:pPr>
            <w:r>
              <w:rPr>
                <w:rFonts w:ascii="Times New Roman" w:hAnsi="Times New Roman"/>
                <w:sz w:val="26"/>
              </w:rPr>
              <w:t>05-10-2018</w:t>
            </w:r>
          </w:p>
        </w:tc>
        <w:tc>
          <w:tcPr>
            <w:tcW w:w="0" w:type="auto"/>
          </w:tcPr>
          <w:p w14:paraId="0E4742AC" w14:textId="77777777" w:rsidR="001C27BE" w:rsidRDefault="001C27BE" w:rsidP="00F66D1D"/>
          <w:p w14:paraId="5ED57E73" w14:textId="77777777" w:rsidR="001C27BE" w:rsidRDefault="001C27BE" w:rsidP="00F66D1D">
            <w:pPr>
              <w:spacing w:line="276" w:lineRule="auto"/>
            </w:pPr>
            <w:r>
              <w:rPr>
                <w:rFonts w:ascii="Times New Roman" w:hAnsi="Times New Roman"/>
                <w:sz w:val="26"/>
              </w:rPr>
              <w:t>Chính phủ</w:t>
            </w:r>
          </w:p>
        </w:tc>
      </w:tr>
      <w:tr w:rsidR="001C27BE" w14:paraId="444FAFC3" w14:textId="77777777" w:rsidTr="00F66D1D">
        <w:tblPrEx>
          <w:tblCellMar>
            <w:top w:w="0" w:type="dxa"/>
            <w:bottom w:w="0" w:type="dxa"/>
          </w:tblCellMar>
        </w:tblPrEx>
        <w:tc>
          <w:tcPr>
            <w:tcW w:w="0" w:type="auto"/>
          </w:tcPr>
          <w:p w14:paraId="03151FB8" w14:textId="77777777" w:rsidR="001C27BE" w:rsidRDefault="001C27BE" w:rsidP="00F66D1D"/>
          <w:p w14:paraId="5C6E8BCA" w14:textId="77777777" w:rsidR="001C27BE" w:rsidRDefault="001C27BE" w:rsidP="00F66D1D">
            <w:pPr>
              <w:spacing w:line="276" w:lineRule="auto"/>
            </w:pPr>
            <w:r>
              <w:rPr>
                <w:rFonts w:ascii="Times New Roman" w:hAnsi="Times New Roman"/>
                <w:sz w:val="26"/>
              </w:rPr>
              <w:t xml:space="preserve"> 40/2014/TT-BTNMT </w:t>
            </w:r>
          </w:p>
        </w:tc>
        <w:tc>
          <w:tcPr>
            <w:tcW w:w="0" w:type="auto"/>
          </w:tcPr>
          <w:p w14:paraId="17F5BC33" w14:textId="77777777" w:rsidR="001C27BE" w:rsidRDefault="001C27BE" w:rsidP="00F66D1D"/>
          <w:p w14:paraId="4941A5A7" w14:textId="77777777" w:rsidR="001C27BE" w:rsidRDefault="001C27BE" w:rsidP="00F66D1D">
            <w:pPr>
              <w:spacing w:line="276" w:lineRule="auto"/>
            </w:pPr>
            <w:r>
              <w:rPr>
                <w:rFonts w:ascii="Times New Roman" w:hAnsi="Times New Roman"/>
                <w:sz w:val="26"/>
              </w:rPr>
              <w:t>Quy định việc hành nghề khoan nước dưới đất</w:t>
            </w:r>
          </w:p>
        </w:tc>
        <w:tc>
          <w:tcPr>
            <w:tcW w:w="0" w:type="auto"/>
          </w:tcPr>
          <w:p w14:paraId="767CC930" w14:textId="77777777" w:rsidR="001C27BE" w:rsidRDefault="001C27BE" w:rsidP="00F66D1D"/>
          <w:p w14:paraId="2C3F2841" w14:textId="77777777" w:rsidR="001C27BE" w:rsidRDefault="001C27BE" w:rsidP="00F66D1D">
            <w:pPr>
              <w:spacing w:line="276" w:lineRule="auto"/>
            </w:pPr>
            <w:r>
              <w:rPr>
                <w:rFonts w:ascii="Times New Roman" w:hAnsi="Times New Roman"/>
                <w:sz w:val="26"/>
              </w:rPr>
              <w:t>11-07-2014</w:t>
            </w:r>
          </w:p>
        </w:tc>
        <w:tc>
          <w:tcPr>
            <w:tcW w:w="0" w:type="auto"/>
          </w:tcPr>
          <w:p w14:paraId="0DF81C29" w14:textId="77777777" w:rsidR="001C27BE" w:rsidRDefault="001C27BE" w:rsidP="00F66D1D"/>
          <w:p w14:paraId="025CFC82" w14:textId="77777777" w:rsidR="001C27BE" w:rsidRDefault="001C27BE" w:rsidP="00F66D1D">
            <w:pPr>
              <w:spacing w:line="276" w:lineRule="auto"/>
            </w:pPr>
            <w:r>
              <w:rPr>
                <w:rFonts w:ascii="Times New Roman" w:hAnsi="Times New Roman"/>
                <w:sz w:val="26"/>
              </w:rPr>
              <w:t>Bộ Tài nguyên và Môi trường</w:t>
            </w:r>
          </w:p>
        </w:tc>
      </w:tr>
      <w:tr w:rsidR="001C27BE" w14:paraId="14ED1CA6" w14:textId="77777777" w:rsidTr="00F66D1D">
        <w:tblPrEx>
          <w:tblCellMar>
            <w:top w:w="0" w:type="dxa"/>
            <w:bottom w:w="0" w:type="dxa"/>
          </w:tblCellMar>
        </w:tblPrEx>
        <w:tc>
          <w:tcPr>
            <w:tcW w:w="0" w:type="auto"/>
          </w:tcPr>
          <w:p w14:paraId="4016AFF2" w14:textId="77777777" w:rsidR="001C27BE" w:rsidRDefault="001C27BE" w:rsidP="00F66D1D"/>
          <w:p w14:paraId="4168BB2B" w14:textId="77777777" w:rsidR="001C27BE" w:rsidRDefault="001C27BE" w:rsidP="00F66D1D">
            <w:pPr>
              <w:spacing w:line="276" w:lineRule="auto"/>
            </w:pPr>
            <w:r>
              <w:rPr>
                <w:rFonts w:ascii="Times New Roman" w:hAnsi="Times New Roman"/>
                <w:sz w:val="26"/>
              </w:rPr>
              <w:t>11/2022/TT-BTNMT</w:t>
            </w:r>
          </w:p>
        </w:tc>
        <w:tc>
          <w:tcPr>
            <w:tcW w:w="0" w:type="auto"/>
          </w:tcPr>
          <w:p w14:paraId="69E13BCE" w14:textId="77777777" w:rsidR="001C27BE" w:rsidRDefault="001C27BE" w:rsidP="00F66D1D"/>
          <w:p w14:paraId="00C05037" w14:textId="77777777" w:rsidR="001C27BE" w:rsidRDefault="001C27BE" w:rsidP="00F66D1D">
            <w:pPr>
              <w:spacing w:line="276" w:lineRule="auto"/>
            </w:pPr>
            <w:r>
              <w:rPr>
                <w:rFonts w:ascii="Times New Roman" w:hAnsi="Times New Roman"/>
                <w:sz w:val="26"/>
              </w:rPr>
              <w:t>Thông tư 11/2022/TT-BTNMT</w:t>
            </w:r>
          </w:p>
        </w:tc>
        <w:tc>
          <w:tcPr>
            <w:tcW w:w="0" w:type="auto"/>
          </w:tcPr>
          <w:p w14:paraId="6CD2038D" w14:textId="77777777" w:rsidR="001C27BE" w:rsidRDefault="001C27BE" w:rsidP="00F66D1D"/>
          <w:p w14:paraId="4FDF338E" w14:textId="77777777" w:rsidR="001C27BE" w:rsidRDefault="001C27BE" w:rsidP="00F66D1D">
            <w:pPr>
              <w:spacing w:line="276" w:lineRule="auto"/>
            </w:pPr>
            <w:r>
              <w:rPr>
                <w:rFonts w:ascii="Times New Roman" w:hAnsi="Times New Roman"/>
                <w:sz w:val="26"/>
              </w:rPr>
              <w:t>20-10-2022</w:t>
            </w:r>
          </w:p>
        </w:tc>
        <w:tc>
          <w:tcPr>
            <w:tcW w:w="0" w:type="auto"/>
          </w:tcPr>
          <w:p w14:paraId="40C9B337" w14:textId="77777777" w:rsidR="001C27BE" w:rsidRDefault="001C27BE" w:rsidP="00F66D1D"/>
        </w:tc>
      </w:tr>
    </w:tbl>
    <w:p w14:paraId="6770D3B6" w14:textId="77777777" w:rsidR="001C27BE" w:rsidRDefault="001C27BE" w:rsidP="001C27BE">
      <w:pPr>
        <w:spacing w:before="240" w:line="276" w:lineRule="auto"/>
        <w:jc w:val="both"/>
      </w:pPr>
      <w:r>
        <w:rPr>
          <w:rFonts w:ascii="Times New Roman" w:hAnsi="Times New Roman"/>
          <w:b/>
          <w:sz w:val="26"/>
        </w:rPr>
        <w:lastRenderedPageBreak/>
        <w:t xml:space="preserve">Yêu cầu, điều kiện thực hiện: </w:t>
      </w:r>
      <w:r>
        <w:rPr>
          <w:rFonts w:ascii="Times New Roman" w:hAnsi="Times New Roman"/>
          <w:sz w:val="26"/>
        </w:rPr>
        <w:t>Tổ chức, cá nhân hành nghề khoan nước dưới đất quy mô vừa và nhỏ có đủ các điều kiện sau đây: - Có quyết định thành lập tổ chức của cấp có thẩm quyền hoặc một trong các loại giấy chứng nhận đăng ký kinh doanh, giấy chứng nhận đăng ký kinh doanh và đăng ký thuế, giấy chứng nhận đăng ký doanh nghiệp đối với tổ chức hoặc giấy chứng nhận đăng ký hộ kinh doanh đối với nhóm cá nhân, hộ gia đình do cơ quan có thẩm quyền cấp. - Người đứng đầu tổ chức (Giám đốc hoặc Tổng Giám đốc) hoặc người chịu trách nhiệm chính về kỹ thuật của tổ chức, cá nhân hành nghề (sau đây gọi chung là người chịu trách nhiệm chính về kỹ thuật) phải đáp ứng các điều kiện sau: a) Đối với hành nghề khoan nước dưới đất quy mô nhỏ: Có trình độ chuyên môn tốt nghiệp trung cấp trở lên thuộc các ngành địa chất (địa chất thăm dò, địa chất thủy văn, địa chất công trình, địa kỹ thuật), khoan hoặc công nhân khoan có tay nghề bậc 3/7 hoặc tương đương trở lên; đã trực tiếp tham gia thiết kế, lập báo cáo hoặc thi công khoan ít nhất 03 (ba) công trình khoan nước dưới đất. Trường hợp không có một trong các văn bằng quy định nêu trên thì đã trực tiếp thi công ít nhất 05 (năm) công trình khoan nước dưới đất; b) Đối với hành nghề khoan nước dưới đất quy mô vừa: Có trình độ chuyên môn tốt nghiệp trung cấp trở lên thuộc các ngành địa chất (địa chất thăm dò, địa chất thủy văn, địa chất công trình, địa kỹ thuật), khoan; đã trực tiếp tham gia lập đề án, báo cáo thăm dò, thiết kế hệ thống giếng khai thác hoặc chỉ đạo thi công ít nhất 03 (ba) công trình khoan nước dưới đất có lưu lượng từ 200 m3/ngày đêm trở lên. Kinh nghiệm công tác: người phụ trách kỹ thuật của đề án, báo cáo có ít nhất 03 năm kinh nghiệm trong lĩnh vực tài nguyên nước, môi trường hoặc đã trực tiếp tham gia lập ít nhất 03 đề án, báo cáo.</w:t>
      </w:r>
    </w:p>
    <w:p w14:paraId="6E76CAED" w14:textId="77777777" w:rsidR="001C27BE" w:rsidRDefault="001C27BE" w:rsidP="001C27BE">
      <w:pPr>
        <w:spacing w:line="276" w:lineRule="auto"/>
        <w:jc w:val="both"/>
      </w:pPr>
      <w:r>
        <w:rPr>
          <w:rFonts w:ascii="Times New Roman" w:hAnsi="Times New Roman"/>
          <w:b/>
          <w:sz w:val="26"/>
        </w:rPr>
        <w:t xml:space="preserve">Từ khóa: </w:t>
      </w:r>
      <w:r>
        <w:rPr>
          <w:rFonts w:ascii="Times New Roman" w:hAnsi="Times New Roman"/>
          <w:sz w:val="26"/>
        </w:rPr>
        <w:t>Không có thông tin</w:t>
      </w:r>
    </w:p>
    <w:p w14:paraId="5E53CFD2" w14:textId="77777777" w:rsidR="001C27BE" w:rsidRDefault="001C27BE" w:rsidP="001C27BE">
      <w:pPr>
        <w:spacing w:line="276" w:lineRule="auto"/>
        <w:jc w:val="both"/>
      </w:pPr>
      <w:r>
        <w:rPr>
          <w:rFonts w:ascii="Times New Roman" w:hAnsi="Times New Roman"/>
          <w:b/>
          <w:sz w:val="26"/>
        </w:rPr>
        <w:t xml:space="preserve">Mô tả: </w:t>
      </w:r>
      <w:r>
        <w:rPr>
          <w:rFonts w:ascii="Times New Roman" w:hAnsi="Times New Roman"/>
          <w:sz w:val="26"/>
        </w:rPr>
        <w:t>Không có thông tin</w:t>
      </w:r>
    </w:p>
    <w:p w14:paraId="1DA5F3B8" w14:textId="77777777" w:rsidR="001C27BE" w:rsidRPr="00A96177" w:rsidRDefault="001C27BE" w:rsidP="00FA161E">
      <w:pPr>
        <w:pStyle w:val="NormalWeb"/>
        <w:shd w:val="clear" w:color="auto" w:fill="FFFFFF"/>
        <w:spacing w:before="120" w:beforeAutospacing="0" w:after="120" w:afterAutospacing="0" w:line="264" w:lineRule="auto"/>
        <w:ind w:firstLine="540"/>
        <w:jc w:val="both"/>
        <w:rPr>
          <w:rFonts w:ascii="Times New Roman" w:hAnsi="Times New Roman"/>
          <w:b/>
          <w:sz w:val="28"/>
          <w:szCs w:val="28"/>
        </w:rPr>
      </w:pPr>
    </w:p>
    <w:sectPr w:rsidR="001C27BE" w:rsidRPr="00A96177" w:rsidSect="00FA161E">
      <w:pgSz w:w="11900" w:h="16840" w:code="9"/>
      <w:pgMar w:top="1138" w:right="1138" w:bottom="1138" w:left="1699" w:header="454" w:footer="45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B281E" w14:textId="77777777" w:rsidR="004B097F" w:rsidRDefault="004B097F" w:rsidP="00FA161E">
      <w:r>
        <w:separator/>
      </w:r>
    </w:p>
  </w:endnote>
  <w:endnote w:type="continuationSeparator" w:id="0">
    <w:p w14:paraId="1EA40618" w14:textId="77777777" w:rsidR="004B097F" w:rsidRDefault="004B097F" w:rsidP="00FA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64025" w14:textId="77777777" w:rsidR="004B097F" w:rsidRDefault="004B097F" w:rsidP="00FA161E">
      <w:r>
        <w:separator/>
      </w:r>
    </w:p>
  </w:footnote>
  <w:footnote w:type="continuationSeparator" w:id="0">
    <w:p w14:paraId="2D120A6E" w14:textId="77777777" w:rsidR="004B097F" w:rsidRDefault="004B097F" w:rsidP="00FA161E">
      <w:r>
        <w:continuationSeparator/>
      </w:r>
    </w:p>
  </w:footnote>
  <w:footnote w:id="1">
    <w:p w14:paraId="2AB0BEE3" w14:textId="77777777" w:rsidR="00FA161E" w:rsidRPr="008249C1" w:rsidRDefault="00FA161E" w:rsidP="00FA161E">
      <w:pPr>
        <w:pStyle w:val="FootnoteText"/>
        <w:rPr>
          <w:rFonts w:ascii="Times New Roman" w:hAnsi="Times New Roman"/>
          <w:b/>
          <w:i/>
        </w:rPr>
      </w:pPr>
      <w:r w:rsidRPr="008249C1">
        <w:rPr>
          <w:rStyle w:val="FootnoteReference"/>
          <w:rFonts w:ascii="Times New Roman" w:hAnsi="Times New Roman"/>
          <w:b/>
          <w:i/>
        </w:rPr>
        <w:footnoteRef/>
      </w:r>
      <w:r w:rsidRPr="008249C1">
        <w:rPr>
          <w:rFonts w:ascii="Times New Roman" w:hAnsi="Times New Roman"/>
          <w:b/>
          <w:i/>
        </w:rPr>
        <w:t xml:space="preserve"> Phần chữ In nghiêng là Nội dung sửa đổi, bổ sung</w:t>
      </w:r>
    </w:p>
  </w:footnote>
  <w:footnote w:id="2">
    <w:p w14:paraId="5997DF6F" w14:textId="77777777" w:rsidR="00FA161E" w:rsidRPr="002B625A" w:rsidRDefault="00FA161E" w:rsidP="00FA161E">
      <w:pPr>
        <w:pStyle w:val="FootnoteText"/>
        <w:rPr>
          <w:rFonts w:ascii="Times New Roman" w:hAnsi="Times New Roman"/>
          <w:b/>
          <w:i/>
        </w:rPr>
      </w:pPr>
      <w:r>
        <w:rPr>
          <w:rStyle w:val="FootnoteReference"/>
        </w:rPr>
        <w:footnoteRef/>
      </w:r>
      <w:r>
        <w:t xml:space="preserve"> </w:t>
      </w:r>
      <w:r w:rsidRPr="008249C1">
        <w:rPr>
          <w:rFonts w:ascii="Times New Roman" w:hAnsi="Times New Roman"/>
          <w:b/>
          <w:i/>
        </w:rPr>
        <w:t>Đã được cập nhật công khai trên Cổng dịch vụ công Quốc gia</w:t>
      </w:r>
      <w:r>
        <w:rPr>
          <w:rFonts w:ascii="Times New Roman" w:hAnsi="Times New Roman"/>
          <w:b/>
          <w:i/>
        </w:rPr>
        <w:t xml:space="preserve"> (</w:t>
      </w:r>
      <w:hyperlink r:id="rId1" w:history="1">
        <w:r w:rsidRPr="002B6D2B">
          <w:rPr>
            <w:rStyle w:val="Hyperlink"/>
            <w:rFonts w:ascii="Times New Roman" w:hAnsi="Times New Roman"/>
            <w:bCs/>
            <w:i/>
          </w:rPr>
          <w:t>https://dichvucong.gov.vn/p/home/dvc-tthc-quyet-dinh-cong-bo.html</w:t>
        </w:r>
      </w:hyperlink>
      <w:r>
        <w:rPr>
          <w:rFonts w:ascii="Times New Roman" w:hAnsi="Times New Roman"/>
          <w:b/>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6E28B2"/>
    <w:multiLevelType w:val="multilevel"/>
    <w:tmpl w:val="F11EC6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20"/>
    <w:rsid w:val="001C27BE"/>
    <w:rsid w:val="00434720"/>
    <w:rsid w:val="004B097F"/>
    <w:rsid w:val="00A96177"/>
    <w:rsid w:val="00FA161E"/>
    <w:rsid w:val="00FD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B9E9"/>
  <w15:chartTrackingRefBased/>
  <w15:docId w15:val="{67FFD41F-5380-4278-8B38-B599CC77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720"/>
    <w:pPr>
      <w:spacing w:after="0" w:line="240" w:lineRule="auto"/>
      <w:jc w:val="center"/>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434720"/>
    <w:rPr>
      <w:rFonts w:ascii="Times New Roman" w:eastAsia="Times New Roman" w:hAnsi="Times New Roman" w:cs="Times New Roman"/>
      <w:sz w:val="28"/>
      <w:szCs w:val="28"/>
      <w:shd w:val="clear" w:color="auto" w:fill="FFFFFF"/>
    </w:rPr>
  </w:style>
  <w:style w:type="paragraph" w:styleId="BodyText">
    <w:name w:val="Body Text"/>
    <w:basedOn w:val="Normal"/>
    <w:link w:val="BodyTextChar"/>
    <w:qFormat/>
    <w:rsid w:val="00434720"/>
    <w:pPr>
      <w:widowControl w:val="0"/>
      <w:shd w:val="clear" w:color="auto" w:fill="FFFFFF"/>
      <w:spacing w:after="100"/>
      <w:ind w:firstLine="400"/>
    </w:pPr>
    <w:rPr>
      <w:rFonts w:ascii="Times New Roman" w:hAnsi="Times New Roman"/>
      <w:sz w:val="28"/>
      <w:szCs w:val="28"/>
    </w:rPr>
  </w:style>
  <w:style w:type="character" w:customStyle="1" w:styleId="BodyTextChar1">
    <w:name w:val="Body Text Char1"/>
    <w:basedOn w:val="DefaultParagraphFont"/>
    <w:uiPriority w:val="99"/>
    <w:semiHidden/>
    <w:rsid w:val="00434720"/>
    <w:rPr>
      <w:rFonts w:ascii="Arial" w:eastAsia="Times New Roman" w:hAnsi="Arial" w:cs="Times New Roman"/>
      <w:sz w:val="20"/>
      <w:szCs w:val="24"/>
    </w:rPr>
  </w:style>
  <w:style w:type="paragraph" w:styleId="NormalWeb">
    <w:name w:val="Normal (Web)"/>
    <w:basedOn w:val="Normal"/>
    <w:uiPriority w:val="99"/>
    <w:unhideWhenUsed/>
    <w:rsid w:val="00434720"/>
    <w:pPr>
      <w:spacing w:before="100" w:beforeAutospacing="1" w:after="100" w:afterAutospacing="1"/>
    </w:pPr>
  </w:style>
  <w:style w:type="character" w:styleId="Hyperlink">
    <w:name w:val="Hyperlink"/>
    <w:uiPriority w:val="99"/>
    <w:rsid w:val="00FA161E"/>
    <w:rPr>
      <w:color w:val="0000FF"/>
      <w:u w:val="single"/>
    </w:rPr>
  </w:style>
  <w:style w:type="character" w:styleId="FootnoteReference">
    <w:name w:val="footnote reference"/>
    <w:uiPriority w:val="99"/>
    <w:rsid w:val="00FA161E"/>
    <w:rPr>
      <w:vertAlign w:val="superscript"/>
    </w:rPr>
  </w:style>
  <w:style w:type="character" w:customStyle="1" w:styleId="FootnoteTextChar1">
    <w:name w:val="Footnote Text Char1"/>
    <w:link w:val="FootnoteText"/>
    <w:uiPriority w:val="99"/>
    <w:rsid w:val="00FA161E"/>
  </w:style>
  <w:style w:type="paragraph" w:styleId="FootnoteText">
    <w:name w:val="footnote text"/>
    <w:basedOn w:val="Normal"/>
    <w:link w:val="FootnoteTextChar1"/>
    <w:uiPriority w:val="99"/>
    <w:rsid w:val="00FA161E"/>
    <w:pPr>
      <w:jc w:val="left"/>
    </w:pPr>
    <w:rPr>
      <w:rFonts w:asciiTheme="minorHAnsi" w:eastAsiaTheme="minorHAnsi" w:hAnsiTheme="minorHAnsi" w:cstheme="minorBidi"/>
      <w:sz w:val="22"/>
      <w:szCs w:val="22"/>
    </w:rPr>
  </w:style>
  <w:style w:type="character" w:customStyle="1" w:styleId="FootnoteTextChar">
    <w:name w:val="Footnote Text Char"/>
    <w:basedOn w:val="DefaultParagraphFont"/>
    <w:uiPriority w:val="99"/>
    <w:semiHidden/>
    <w:rsid w:val="00FA161E"/>
    <w:rPr>
      <w:rFonts w:ascii="Arial" w:eastAsia="Times New Roman" w:hAnsi="Arial" w:cs="Times New Roman"/>
      <w:sz w:val="20"/>
      <w:szCs w:val="20"/>
    </w:rPr>
  </w:style>
  <w:style w:type="character" w:customStyle="1" w:styleId="link">
    <w:name w:val="link"/>
    <w:rsid w:val="00FA161E"/>
  </w:style>
  <w:style w:type="paragraph" w:styleId="ListParagraph">
    <w:name w:val="List Paragraph"/>
    <w:basedOn w:val="Normal"/>
    <w:uiPriority w:val="34"/>
    <w:qFormat/>
    <w:rsid w:val="00FA1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dongnai.gov.vn/" TargetMode="External"/><Relationship Id="rId3" Type="http://schemas.openxmlformats.org/officeDocument/2006/relationships/settings" Target="settings.xml"/><Relationship Id="rId7" Type="http://schemas.openxmlformats.org/officeDocument/2006/relationships/hyperlink" Target="https://dichvucong.gov.vn/p/home/dvc-tthc-thu-tuc-hanh-chinh-chi-tiet.html?ma_thu_tuc=2957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chvucong.gov.vn/p/home/dvc-chi-tiet-thu-tuc-hanh-chinh.html?ma_thu_tuc=2.00173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ichvucong.gov.vn/p/home/dvc-tthc-quyet-dinh-cong-bo-chi-ti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2127</Words>
  <Characters>12125</Characters>
  <Application>Microsoft Office Word</Application>
  <DocSecurity>0</DocSecurity>
  <Lines>101</Lines>
  <Paragraphs>28</Paragraphs>
  <ScaleCrop>false</ScaleCrop>
  <Company/>
  <LinksUpToDate>false</LinksUpToDate>
  <CharactersWithSpaces>14224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CAM HONG</dc:creator>
  <cp:keywords/>
  <dc:description/>
  <cp:lastModifiedBy>HONG PC</cp:lastModifiedBy>
  <cp:revision>5</cp:revision>
  <dcterms:created xsi:type="dcterms:W3CDTF">2023-09-26T00:17:00Z</dcterms:created>
  <dcterms:modified xsi:type="dcterms:W3CDTF">2024-02-23T02:02:00Z</dcterms:modified>
</cp:coreProperties>
</file>